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E95BE" w14:textId="77777777" w:rsidR="005C4BC9" w:rsidRDefault="00000000">
      <w:pPr>
        <w:pStyle w:val="likeheader"/>
      </w:pPr>
      <w:r>
        <w:t xml:space="preserve">OMB No. 0925-0001 and 0925-0002 (Rev. 10/2021 Approved Through 01/31/2026) </w:t>
      </w:r>
      <w:r w:rsidR="003A64EB" w:rsidRPr="003A64EB">
        <w:rPr>
          <w:noProof/>
          <w:bdr w:val="none" w:sz="0" w:space="0" w:color="auto"/>
        </w:rPr>
        <w:pict w14:anchorId="0CA450E3">
          <v:rect id="_x0000_i1025" alt="" style="width:468pt;height:.05pt;mso-width-percent:0;mso-height-percent:0;mso-width-percent:0;mso-height-percent:0" o:hralign="center" o:hrstd="t" o:hr="t" fillcolor="gray" stroked="f">
            <v:path strokeok="f"/>
          </v:rect>
        </w:pict>
      </w:r>
    </w:p>
    <w:p w14:paraId="5B635750" w14:textId="77777777" w:rsidR="005C4BC9" w:rsidRDefault="00000000">
      <w:pPr>
        <w:pStyle w:val="h3center"/>
      </w:pPr>
      <w:r>
        <w:rPr>
          <w:rFonts w:ascii="Arial" w:eastAsia="Arial" w:hAnsi="Arial" w:cs="Arial"/>
          <w:sz w:val="26"/>
          <w:szCs w:val="26"/>
        </w:rPr>
        <w:t>BIOGRAPHICAL SKETCH</w:t>
      </w:r>
    </w:p>
    <w:p w14:paraId="0D19883C" w14:textId="77777777" w:rsidR="005C4BC9" w:rsidRDefault="00000000">
      <w:pPr>
        <w:jc w:val="center"/>
      </w:pPr>
      <w:r>
        <w:rPr>
          <w:sz w:val="16"/>
          <w:szCs w:val="16"/>
        </w:rPr>
        <w:t>Provide the following information for the Senior/key personnel and other significant contributors.</w:t>
      </w:r>
    </w:p>
    <w:p w14:paraId="278C160D" w14:textId="77777777" w:rsidR="005C4BC9" w:rsidRDefault="00000000">
      <w:pPr>
        <w:spacing w:after="75"/>
        <w:jc w:val="center"/>
      </w:pPr>
      <w:r>
        <w:rPr>
          <w:sz w:val="16"/>
          <w:szCs w:val="16"/>
        </w:rPr>
        <w:t>Follow this format for each person. DO NOT EXCEED FIVE PAGES.</w:t>
      </w:r>
    </w:p>
    <w:tbl>
      <w:tblPr>
        <w:tblStyle w:val="table"/>
        <w:tblW w:w="5000" w:type="pct"/>
        <w:tblInd w:w="15" w:type="dxa"/>
        <w:tblBorders>
          <w:top w:val="outset" w:sz="6" w:space="0" w:color="000000"/>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10830"/>
      </w:tblGrid>
      <w:tr w:rsidR="005C4BC9" w14:paraId="04E3498A" w14:textId="77777777">
        <w:tc>
          <w:tcPr>
            <w:tcW w:w="4530" w:type="dxa"/>
            <w:tcBorders>
              <w:top w:val="inset" w:sz="6" w:space="0" w:color="808080"/>
              <w:bottom w:val="single" w:sz="6" w:space="0" w:color="000000"/>
            </w:tcBorders>
            <w:tcMar>
              <w:top w:w="15" w:type="dxa"/>
              <w:left w:w="15" w:type="dxa"/>
              <w:bottom w:w="15" w:type="dxa"/>
              <w:right w:w="15" w:type="dxa"/>
            </w:tcMar>
          </w:tcPr>
          <w:p w14:paraId="4436C9AA" w14:textId="77777777" w:rsidR="005C4BC9" w:rsidRDefault="00000000">
            <w:r>
              <w:t>NAME: Xu, Wei</w:t>
            </w:r>
          </w:p>
        </w:tc>
      </w:tr>
      <w:tr w:rsidR="005C4BC9" w14:paraId="069BEDFC" w14:textId="77777777">
        <w:tc>
          <w:tcPr>
            <w:tcW w:w="0" w:type="auto"/>
            <w:tcBorders>
              <w:top w:val="inset" w:sz="6" w:space="0" w:color="808080"/>
              <w:bottom w:val="single" w:sz="6" w:space="0" w:color="000000"/>
            </w:tcBorders>
            <w:tcMar>
              <w:top w:w="15" w:type="dxa"/>
              <w:left w:w="15" w:type="dxa"/>
              <w:bottom w:w="15" w:type="dxa"/>
              <w:right w:w="15" w:type="dxa"/>
            </w:tcMar>
          </w:tcPr>
          <w:p w14:paraId="1E88F140" w14:textId="77777777" w:rsidR="005C4BC9" w:rsidRDefault="00000000">
            <w:proofErr w:type="spellStart"/>
            <w:r>
              <w:t>eRA</w:t>
            </w:r>
            <w:proofErr w:type="spellEnd"/>
            <w:r>
              <w:t xml:space="preserve"> COMMONS USER NAME (credential, e.g., agency login): weixu3</w:t>
            </w:r>
          </w:p>
        </w:tc>
      </w:tr>
      <w:tr w:rsidR="005C4BC9" w14:paraId="19EC1971" w14:textId="77777777">
        <w:tc>
          <w:tcPr>
            <w:tcW w:w="0" w:type="auto"/>
            <w:tcBorders>
              <w:top w:val="inset" w:sz="6" w:space="0" w:color="808080"/>
              <w:bottom w:val="single" w:sz="6" w:space="0" w:color="000000"/>
            </w:tcBorders>
            <w:tcMar>
              <w:top w:w="15" w:type="dxa"/>
              <w:left w:w="15" w:type="dxa"/>
              <w:bottom w:w="15" w:type="dxa"/>
              <w:right w:w="15" w:type="dxa"/>
            </w:tcMar>
          </w:tcPr>
          <w:p w14:paraId="270585D6" w14:textId="77777777" w:rsidR="005C4BC9" w:rsidRDefault="00000000">
            <w:r>
              <w:t>POSITION TITLE: Assistant professor</w:t>
            </w:r>
          </w:p>
        </w:tc>
      </w:tr>
    </w:tbl>
    <w:p w14:paraId="1198CE75" w14:textId="77777777" w:rsidR="005C4BC9" w:rsidRDefault="00000000">
      <w:pPr>
        <w:pStyle w:val="sectionEducationsectionHeader"/>
      </w:pPr>
      <w:r>
        <w:t xml:space="preserve">EDUCATION/TRAINING </w:t>
      </w:r>
      <w:r>
        <w:rPr>
          <w:i/>
          <w:iCs/>
        </w:rPr>
        <w:t xml:space="preserve">(Begin with baccalaureate or other initial professional education, such as nursing, include postdoctoral training and residency training if applicable. Add/delete rows as necessary.) </w:t>
      </w:r>
    </w:p>
    <w:tbl>
      <w:tblPr>
        <w:tblStyle w:val="table"/>
        <w:tblW w:w="5000" w:type="pct"/>
        <w:tblInd w:w="15" w:type="dxa"/>
        <w:tblBorders>
          <w:top w:val="outset" w:sz="6" w:space="0" w:color="000000"/>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5376"/>
        <w:gridCol w:w="1404"/>
        <w:gridCol w:w="1198"/>
        <w:gridCol w:w="2852"/>
      </w:tblGrid>
      <w:tr w:rsidR="005C4BC9" w14:paraId="5D82FA5B" w14:textId="77777777">
        <w:tc>
          <w:tcPr>
            <w:tcW w:w="0" w:type="auto"/>
            <w:tcBorders>
              <w:top w:val="inset" w:sz="6" w:space="0" w:color="808080"/>
              <w:bottom w:val="single" w:sz="6" w:space="0" w:color="000000"/>
              <w:right w:val="single" w:sz="6" w:space="0" w:color="000000"/>
            </w:tcBorders>
            <w:tcMar>
              <w:top w:w="15" w:type="dxa"/>
              <w:left w:w="15" w:type="dxa"/>
              <w:bottom w:w="15" w:type="dxa"/>
              <w:right w:w="15" w:type="dxa"/>
            </w:tcMar>
          </w:tcPr>
          <w:p w14:paraId="2E352024" w14:textId="77777777" w:rsidR="005C4BC9" w:rsidRDefault="00000000">
            <w:pPr>
              <w:jc w:val="center"/>
            </w:pPr>
            <w:r>
              <w:t>INSTITUTION AND LOCATION</w:t>
            </w:r>
          </w:p>
        </w:tc>
        <w:tc>
          <w:tcPr>
            <w:tcW w:w="0" w:type="auto"/>
            <w:tcBorders>
              <w:top w:val="inset" w:sz="6" w:space="0" w:color="808080"/>
              <w:left w:val="inset" w:sz="6" w:space="0" w:color="808080"/>
              <w:bottom w:val="single" w:sz="6" w:space="0" w:color="000000"/>
              <w:right w:val="single" w:sz="6" w:space="0" w:color="000000"/>
            </w:tcBorders>
            <w:tcMar>
              <w:top w:w="15" w:type="dxa"/>
              <w:left w:w="15" w:type="dxa"/>
              <w:bottom w:w="15" w:type="dxa"/>
              <w:right w:w="15" w:type="dxa"/>
            </w:tcMar>
          </w:tcPr>
          <w:p w14:paraId="471EE36A" w14:textId="77777777" w:rsidR="005C4BC9" w:rsidRDefault="00000000">
            <w:pPr>
              <w:jc w:val="center"/>
            </w:pPr>
            <w:r>
              <w:t>DEGREE</w:t>
            </w:r>
            <w:r>
              <w:br/>
              <w:t>(if applicable)</w:t>
            </w:r>
          </w:p>
        </w:tc>
        <w:tc>
          <w:tcPr>
            <w:tcW w:w="0" w:type="auto"/>
            <w:tcBorders>
              <w:top w:val="inset" w:sz="6" w:space="0" w:color="808080"/>
              <w:left w:val="inset" w:sz="6" w:space="0" w:color="808080"/>
              <w:bottom w:val="single" w:sz="6" w:space="0" w:color="000000"/>
              <w:right w:val="single" w:sz="6" w:space="0" w:color="000000"/>
            </w:tcBorders>
            <w:tcMar>
              <w:top w:w="15" w:type="dxa"/>
              <w:left w:w="15" w:type="dxa"/>
              <w:bottom w:w="15" w:type="dxa"/>
              <w:right w:w="15" w:type="dxa"/>
            </w:tcMar>
          </w:tcPr>
          <w:p w14:paraId="0707274A" w14:textId="77777777" w:rsidR="005C4BC9" w:rsidRDefault="00000000">
            <w:pPr>
              <w:jc w:val="center"/>
            </w:pPr>
            <w:r>
              <w:t>END DATE</w:t>
            </w:r>
            <w:r>
              <w:br/>
              <w:t>MM/YYYY</w:t>
            </w:r>
          </w:p>
        </w:tc>
        <w:tc>
          <w:tcPr>
            <w:tcW w:w="0" w:type="auto"/>
            <w:tcBorders>
              <w:top w:val="inset" w:sz="6" w:space="0" w:color="808080"/>
              <w:left w:val="inset" w:sz="6" w:space="0" w:color="808080"/>
              <w:bottom w:val="single" w:sz="6" w:space="0" w:color="000000"/>
            </w:tcBorders>
            <w:tcMar>
              <w:top w:w="15" w:type="dxa"/>
              <w:left w:w="15" w:type="dxa"/>
              <w:bottom w:w="15" w:type="dxa"/>
              <w:right w:w="15" w:type="dxa"/>
            </w:tcMar>
          </w:tcPr>
          <w:p w14:paraId="387AE3D3" w14:textId="77777777" w:rsidR="005C4BC9" w:rsidRDefault="00000000">
            <w:pPr>
              <w:jc w:val="center"/>
            </w:pPr>
            <w:r>
              <w:t>FIELD OF STUDY</w:t>
            </w:r>
          </w:p>
        </w:tc>
      </w:tr>
      <w:tr w:rsidR="005C4BC9" w14:paraId="5F041A16" w14:textId="77777777">
        <w:tc>
          <w:tcPr>
            <w:tcW w:w="0" w:type="auto"/>
            <w:tcBorders>
              <w:right w:val="single" w:sz="6" w:space="0" w:color="000000"/>
            </w:tcBorders>
            <w:tcMar>
              <w:top w:w="15" w:type="dxa"/>
              <w:left w:w="15" w:type="dxa"/>
              <w:bottom w:w="15" w:type="dxa"/>
              <w:right w:w="15" w:type="dxa"/>
            </w:tcMar>
          </w:tcPr>
          <w:p w14:paraId="04CB53B2" w14:textId="77777777" w:rsidR="005C4BC9" w:rsidRDefault="00000000">
            <w:r>
              <w:t>Zhejiang University, Hangzhou, Zhejiang</w:t>
            </w:r>
          </w:p>
        </w:tc>
        <w:tc>
          <w:tcPr>
            <w:tcW w:w="0" w:type="auto"/>
            <w:tcBorders>
              <w:left w:val="inset" w:sz="6" w:space="0" w:color="808080"/>
              <w:right w:val="single" w:sz="6" w:space="0" w:color="000000"/>
            </w:tcBorders>
            <w:tcMar>
              <w:top w:w="15" w:type="dxa"/>
              <w:left w:w="15" w:type="dxa"/>
              <w:bottom w:w="15" w:type="dxa"/>
              <w:right w:w="15" w:type="dxa"/>
            </w:tcMar>
          </w:tcPr>
          <w:p w14:paraId="075696F4" w14:textId="77777777" w:rsidR="005C4BC9" w:rsidRDefault="00000000">
            <w:pPr>
              <w:jc w:val="center"/>
            </w:pPr>
            <w:r>
              <w:t>BS</w:t>
            </w:r>
          </w:p>
        </w:tc>
        <w:tc>
          <w:tcPr>
            <w:tcW w:w="0" w:type="auto"/>
            <w:tcBorders>
              <w:left w:val="inset" w:sz="6" w:space="0" w:color="808080"/>
              <w:right w:val="single" w:sz="6" w:space="0" w:color="000000"/>
            </w:tcBorders>
            <w:tcMar>
              <w:top w:w="15" w:type="dxa"/>
              <w:left w:w="15" w:type="dxa"/>
              <w:bottom w:w="15" w:type="dxa"/>
              <w:right w:w="15" w:type="dxa"/>
            </w:tcMar>
          </w:tcPr>
          <w:p w14:paraId="1FE9C677" w14:textId="77777777" w:rsidR="005C4BC9" w:rsidRDefault="00000000">
            <w:pPr>
              <w:jc w:val="center"/>
            </w:pPr>
            <w:r>
              <w:t>06/2008</w:t>
            </w:r>
          </w:p>
        </w:tc>
        <w:tc>
          <w:tcPr>
            <w:tcW w:w="0" w:type="auto"/>
            <w:tcBorders>
              <w:left w:val="inset" w:sz="6" w:space="0" w:color="808080"/>
            </w:tcBorders>
            <w:tcMar>
              <w:top w:w="15" w:type="dxa"/>
              <w:left w:w="15" w:type="dxa"/>
              <w:bottom w:w="15" w:type="dxa"/>
              <w:right w:w="15" w:type="dxa"/>
            </w:tcMar>
          </w:tcPr>
          <w:p w14:paraId="666F8311" w14:textId="77777777" w:rsidR="005C4BC9" w:rsidRDefault="00000000">
            <w:r>
              <w:t>Applied Biological Sciences</w:t>
            </w:r>
          </w:p>
        </w:tc>
      </w:tr>
      <w:tr w:rsidR="005C4BC9" w14:paraId="79918967" w14:textId="77777777">
        <w:tc>
          <w:tcPr>
            <w:tcW w:w="0" w:type="auto"/>
            <w:tcBorders>
              <w:right w:val="single" w:sz="6" w:space="0" w:color="000000"/>
            </w:tcBorders>
            <w:tcMar>
              <w:top w:w="15" w:type="dxa"/>
              <w:left w:w="15" w:type="dxa"/>
              <w:bottom w:w="15" w:type="dxa"/>
              <w:right w:w="15" w:type="dxa"/>
            </w:tcMar>
          </w:tcPr>
          <w:p w14:paraId="2FC4620B" w14:textId="77777777" w:rsidR="005C4BC9" w:rsidRDefault="00000000">
            <w:r>
              <w:t>Texas Tech University, Lubbock, TX</w:t>
            </w:r>
          </w:p>
          <w:p w14:paraId="3A98E9AF" w14:textId="785DAF67" w:rsidR="00A2652A" w:rsidRDefault="00A2652A">
            <w:r>
              <w:t>Washington Univ. School of Medicine, St. Louis, MO</w:t>
            </w:r>
          </w:p>
          <w:p w14:paraId="3B69A1F2" w14:textId="41C77224" w:rsidR="00A2652A" w:rsidRDefault="00A2652A">
            <w:r>
              <w:t>Washington Univ. School of Medicine, St. Louis, MO</w:t>
            </w:r>
          </w:p>
        </w:tc>
        <w:tc>
          <w:tcPr>
            <w:tcW w:w="0" w:type="auto"/>
            <w:tcBorders>
              <w:left w:val="inset" w:sz="6" w:space="0" w:color="808080"/>
              <w:right w:val="single" w:sz="6" w:space="0" w:color="000000"/>
            </w:tcBorders>
            <w:tcMar>
              <w:top w:w="15" w:type="dxa"/>
              <w:left w:w="15" w:type="dxa"/>
              <w:bottom w:w="15" w:type="dxa"/>
              <w:right w:w="15" w:type="dxa"/>
            </w:tcMar>
          </w:tcPr>
          <w:p w14:paraId="4A8347FB" w14:textId="77777777" w:rsidR="005C4BC9" w:rsidRDefault="00000000">
            <w:pPr>
              <w:jc w:val="center"/>
            </w:pPr>
            <w:r>
              <w:t>PHD</w:t>
            </w:r>
          </w:p>
          <w:p w14:paraId="16CD27CF" w14:textId="77777777" w:rsidR="00A2652A" w:rsidRDefault="00A2652A">
            <w:pPr>
              <w:jc w:val="center"/>
            </w:pPr>
            <w:r>
              <w:t>Postdoc</w:t>
            </w:r>
          </w:p>
          <w:p w14:paraId="5E76A697" w14:textId="00E91FF2" w:rsidR="00A2652A" w:rsidRDefault="00A2652A">
            <w:pPr>
              <w:jc w:val="center"/>
            </w:pPr>
            <w:r>
              <w:t>Scientist</w:t>
            </w:r>
          </w:p>
        </w:tc>
        <w:tc>
          <w:tcPr>
            <w:tcW w:w="0" w:type="auto"/>
            <w:tcBorders>
              <w:left w:val="inset" w:sz="6" w:space="0" w:color="808080"/>
              <w:right w:val="single" w:sz="6" w:space="0" w:color="000000"/>
            </w:tcBorders>
            <w:tcMar>
              <w:top w:w="15" w:type="dxa"/>
              <w:left w:w="15" w:type="dxa"/>
              <w:bottom w:w="15" w:type="dxa"/>
              <w:right w:w="15" w:type="dxa"/>
            </w:tcMar>
          </w:tcPr>
          <w:p w14:paraId="69D3FDD4" w14:textId="77777777" w:rsidR="005C4BC9" w:rsidRDefault="00000000">
            <w:pPr>
              <w:jc w:val="center"/>
            </w:pPr>
            <w:r>
              <w:t>10/2014</w:t>
            </w:r>
          </w:p>
          <w:p w14:paraId="318DA1C2" w14:textId="77777777" w:rsidR="00A2652A" w:rsidRDefault="00A2652A">
            <w:pPr>
              <w:jc w:val="center"/>
            </w:pPr>
            <w:r>
              <w:t>12/2018</w:t>
            </w:r>
          </w:p>
          <w:p w14:paraId="08E1DB5B" w14:textId="492213C3" w:rsidR="00A2652A" w:rsidRDefault="00A2652A">
            <w:pPr>
              <w:jc w:val="center"/>
            </w:pPr>
            <w:r>
              <w:t>09/2024</w:t>
            </w:r>
          </w:p>
        </w:tc>
        <w:tc>
          <w:tcPr>
            <w:tcW w:w="0" w:type="auto"/>
            <w:tcBorders>
              <w:left w:val="inset" w:sz="6" w:space="0" w:color="808080"/>
            </w:tcBorders>
            <w:tcMar>
              <w:top w:w="15" w:type="dxa"/>
              <w:left w:w="15" w:type="dxa"/>
              <w:bottom w:w="15" w:type="dxa"/>
              <w:right w:w="15" w:type="dxa"/>
            </w:tcMar>
          </w:tcPr>
          <w:p w14:paraId="23542B11" w14:textId="77777777" w:rsidR="005C4BC9" w:rsidRDefault="00000000">
            <w:r>
              <w:t>Biology</w:t>
            </w:r>
          </w:p>
          <w:p w14:paraId="23BEBC5B" w14:textId="77777777" w:rsidR="009D0BB7" w:rsidRDefault="009D0BB7" w:rsidP="009D0BB7">
            <w:r>
              <w:t>Biomedical Sciences</w:t>
            </w:r>
          </w:p>
          <w:p w14:paraId="5BA8E622" w14:textId="45310895" w:rsidR="00A2652A" w:rsidRDefault="00A2652A">
            <w:r>
              <w:t>Infectious Diseases</w:t>
            </w:r>
          </w:p>
        </w:tc>
      </w:tr>
    </w:tbl>
    <w:p w14:paraId="58496563" w14:textId="7AF8F963" w:rsidR="004410B2" w:rsidRDefault="00000000" w:rsidP="004410B2">
      <w:pPr>
        <w:pStyle w:val="Heading3"/>
        <w:rPr>
          <w:rFonts w:ascii="Arial" w:eastAsia="Arial" w:hAnsi="Arial" w:cs="Arial"/>
          <w:sz w:val="26"/>
          <w:szCs w:val="26"/>
        </w:rPr>
      </w:pPr>
      <w:r>
        <w:rPr>
          <w:rFonts w:ascii="Arial" w:eastAsia="Arial" w:hAnsi="Arial" w:cs="Arial"/>
          <w:sz w:val="26"/>
          <w:szCs w:val="26"/>
        </w:rPr>
        <w:t>A. Personal Statement</w:t>
      </w:r>
    </w:p>
    <w:p w14:paraId="39FAB698" w14:textId="73C03E57" w:rsidR="00555A6A" w:rsidRDefault="00555A6A" w:rsidP="00555A6A">
      <w:pPr>
        <w:ind w:firstLine="360"/>
        <w:jc w:val="both"/>
      </w:pPr>
      <w:r w:rsidRPr="00555A6A">
        <w:t>As a first-year investigator at the Joan C. Edwards School of Medicine,</w:t>
      </w:r>
      <w:r>
        <w:t xml:space="preserve"> Marshall University,</w:t>
      </w:r>
      <w:r w:rsidRPr="00555A6A">
        <w:t xml:space="preserve"> I </w:t>
      </w:r>
      <w:r w:rsidR="003A78C6">
        <w:t xml:space="preserve">lead </w:t>
      </w:r>
      <w:r w:rsidRPr="00555A6A">
        <w:t>pioneering</w:t>
      </w:r>
      <w:r w:rsidR="003A78C6">
        <w:t xml:space="preserve"> research on</w:t>
      </w:r>
      <w:r w:rsidRPr="00555A6A">
        <w:t xml:space="preserve"> host-directed therapies to </w:t>
      </w:r>
      <w:r w:rsidR="004D409C">
        <w:t>combat</w:t>
      </w:r>
      <w:r w:rsidRPr="00555A6A">
        <w:t xml:space="preserve"> diabetic skin and soft tissue infections (DSSTIs). </w:t>
      </w:r>
      <w:r w:rsidR="003A78C6" w:rsidRPr="003A78C6">
        <w:t>My work addresses how infection-induced hyper-</w:t>
      </w:r>
      <w:proofErr w:type="spellStart"/>
      <w:r w:rsidR="003A78C6" w:rsidRPr="003A78C6">
        <w:t>NETosis</w:t>
      </w:r>
      <w:proofErr w:type="spellEnd"/>
      <w:r w:rsidR="003A78C6" w:rsidRPr="003A78C6">
        <w:t xml:space="preserve"> (excessive neutrophil extracellular trap formation) drives chronic tissue damage in diabetic patients. I aim to develop precision therapies that restore immune balance and halt tissue destruction—a transformative approach to improving outcomes for high-risk population</w:t>
      </w:r>
      <w:r w:rsidRPr="00555A6A">
        <w:t>.</w:t>
      </w:r>
    </w:p>
    <w:p w14:paraId="401A0EE3" w14:textId="680EC13D" w:rsidR="001D1124" w:rsidRPr="00555A6A" w:rsidRDefault="001D1124" w:rsidP="00555A6A">
      <w:pPr>
        <w:jc w:val="both"/>
      </w:pPr>
      <w:r w:rsidRPr="00A003A7">
        <w:rPr>
          <w:b/>
          <w:bCs/>
        </w:rPr>
        <w:t>Qualifications:</w:t>
      </w:r>
    </w:p>
    <w:p w14:paraId="6A7FD674" w14:textId="7CDB8637" w:rsidR="00C70F2C" w:rsidRDefault="0008791F" w:rsidP="000D5057">
      <w:pPr>
        <w:pStyle w:val="citationUlliParagraph"/>
        <w:numPr>
          <w:ilvl w:val="0"/>
          <w:numId w:val="7"/>
        </w:numPr>
        <w:spacing w:after="0"/>
        <w:jc w:val="both"/>
      </w:pPr>
      <w:r w:rsidRPr="00C70F2C">
        <w:rPr>
          <w:u w:val="single"/>
        </w:rPr>
        <w:t xml:space="preserve">Expertise in </w:t>
      </w:r>
      <w:r w:rsidR="00540969" w:rsidRPr="00C70F2C">
        <w:rPr>
          <w:u w:val="single"/>
        </w:rPr>
        <w:t>h</w:t>
      </w:r>
      <w:r w:rsidRPr="00C70F2C">
        <w:rPr>
          <w:u w:val="single"/>
        </w:rPr>
        <w:t>ost-</w:t>
      </w:r>
      <w:r w:rsidR="00540969" w:rsidRPr="00C70F2C">
        <w:rPr>
          <w:u w:val="single"/>
        </w:rPr>
        <w:t>p</w:t>
      </w:r>
      <w:r w:rsidRPr="00C70F2C">
        <w:rPr>
          <w:u w:val="single"/>
        </w:rPr>
        <w:t xml:space="preserve">athogen </w:t>
      </w:r>
      <w:r w:rsidR="00540969" w:rsidRPr="00C70F2C">
        <w:rPr>
          <w:u w:val="single"/>
        </w:rPr>
        <w:t>i</w:t>
      </w:r>
      <w:r w:rsidRPr="00C70F2C">
        <w:rPr>
          <w:u w:val="single"/>
        </w:rPr>
        <w:t>nteractions:</w:t>
      </w:r>
      <w:r w:rsidR="00540969" w:rsidRPr="00555A6A">
        <w:t xml:space="preserve"> </w:t>
      </w:r>
      <w:r w:rsidR="00555A6A" w:rsidRPr="00555A6A">
        <w:t>I have</w:t>
      </w:r>
      <w:r w:rsidR="00A62053">
        <w:t xml:space="preserve"> d</w:t>
      </w:r>
      <w:r w:rsidR="00A62053" w:rsidRPr="00A62053">
        <w:t>iscovered bacterial immune evasion strategies, including how short-chain fatty acids suppress macrophage IL-10 production to dysregulate host toleranc</w:t>
      </w:r>
      <w:r w:rsidR="00A62053">
        <w:t>e</w:t>
      </w:r>
      <w:r w:rsidR="00555A6A" w:rsidRPr="00555A6A">
        <w:t xml:space="preserve">. </w:t>
      </w:r>
      <w:r w:rsidR="009E317A" w:rsidRPr="009E317A">
        <w:t>I have</w:t>
      </w:r>
      <w:r w:rsidR="00A62053">
        <w:t xml:space="preserve"> </w:t>
      </w:r>
      <w:r w:rsidR="00776691">
        <w:t xml:space="preserve">also </w:t>
      </w:r>
      <w:r w:rsidR="00A62053">
        <w:t>d</w:t>
      </w:r>
      <w:r w:rsidR="00A62053" w:rsidRPr="00A62053">
        <w:t>emonstrated that hyper-</w:t>
      </w:r>
      <w:proofErr w:type="spellStart"/>
      <w:r w:rsidR="00A62053" w:rsidRPr="00A62053">
        <w:t>NETosis</w:t>
      </w:r>
      <w:proofErr w:type="spellEnd"/>
      <w:r w:rsidR="00A62053" w:rsidRPr="00A62053">
        <w:t xml:space="preserve"> directly exacerbates tissue damage in diabetic mouse models of SSTI. Key experiments with NET-deficient mice confirmed that reducing </w:t>
      </w:r>
      <w:proofErr w:type="spellStart"/>
      <w:r w:rsidR="00A62053" w:rsidRPr="00A62053">
        <w:t>NETosis</w:t>
      </w:r>
      <w:proofErr w:type="spellEnd"/>
      <w:r w:rsidR="00A62053" w:rsidRPr="00A62053">
        <w:t xml:space="preserve"> preserves tissue integrity without compromising bacterial clearanc</w:t>
      </w:r>
      <w:r w:rsidR="00A62053">
        <w:t>e</w:t>
      </w:r>
      <w:r w:rsidR="009E317A" w:rsidRPr="009E317A">
        <w:t>.</w:t>
      </w:r>
    </w:p>
    <w:p w14:paraId="6E00ECDA" w14:textId="648D1B83" w:rsidR="00C70F2C" w:rsidRDefault="00C24F69" w:rsidP="007906D8">
      <w:pPr>
        <w:pStyle w:val="citationUlliParagraph"/>
        <w:numPr>
          <w:ilvl w:val="0"/>
          <w:numId w:val="7"/>
        </w:numPr>
        <w:spacing w:after="0"/>
        <w:jc w:val="both"/>
      </w:pPr>
      <w:r w:rsidRPr="00C70F2C">
        <w:rPr>
          <w:u w:val="single"/>
        </w:rPr>
        <w:t>Translational therapeutic development:</w:t>
      </w:r>
      <w:r>
        <w:t xml:space="preserve"> </w:t>
      </w:r>
      <w:r w:rsidR="00C70F2C" w:rsidRPr="00C70F2C">
        <w:t xml:space="preserve">I have established </w:t>
      </w:r>
      <w:r w:rsidR="00A62053" w:rsidRPr="00A62053">
        <w:t xml:space="preserve">robust </w:t>
      </w:r>
      <w:r w:rsidR="00A62053" w:rsidRPr="00A62053">
        <w:rPr>
          <w:i/>
          <w:iCs/>
        </w:rPr>
        <w:t>in vitro</w:t>
      </w:r>
      <w:r w:rsidR="00A62053" w:rsidRPr="00A62053">
        <w:t xml:space="preserve"> to </w:t>
      </w:r>
      <w:r w:rsidR="00A62053" w:rsidRPr="00A62053">
        <w:rPr>
          <w:i/>
          <w:iCs/>
        </w:rPr>
        <w:t>in vivo</w:t>
      </w:r>
      <w:r w:rsidR="00A62053" w:rsidRPr="00A62053">
        <w:t xml:space="preserve"> infection models and standardized protocols to induce hyper-</w:t>
      </w:r>
      <w:proofErr w:type="spellStart"/>
      <w:r w:rsidR="00A62053" w:rsidRPr="00A62053">
        <w:t>NETosis</w:t>
      </w:r>
      <w:proofErr w:type="spellEnd"/>
      <w:r w:rsidR="00A62053" w:rsidRPr="00A62053">
        <w:t>, enabling high-throughput drug screening</w:t>
      </w:r>
      <w:r w:rsidR="00C70F2C" w:rsidRPr="00C70F2C">
        <w:t>. Additionally, I identified a bacterial virulence factor that triggers hyper-</w:t>
      </w:r>
      <w:proofErr w:type="spellStart"/>
      <w:r w:rsidR="00C70F2C" w:rsidRPr="00C70F2C">
        <w:t>NETosis</w:t>
      </w:r>
      <w:proofErr w:type="spellEnd"/>
      <w:r w:rsidR="00C70F2C" w:rsidRPr="00C70F2C">
        <w:t xml:space="preserve">, </w:t>
      </w:r>
      <w:r w:rsidR="00A62053" w:rsidRPr="00A62053">
        <w:t>revealing a novel therapeutic</w:t>
      </w:r>
      <w:r w:rsidR="00A62053">
        <w:t xml:space="preserve"> target to disrupt</w:t>
      </w:r>
      <w:r w:rsidR="00C70F2C" w:rsidRPr="00C70F2C">
        <w:t xml:space="preserve"> polymicrobial infection.</w:t>
      </w:r>
    </w:p>
    <w:p w14:paraId="29A52CE5" w14:textId="72ACDF74" w:rsidR="00AE5C0A" w:rsidRPr="00AE5C0A" w:rsidRDefault="00C24F69" w:rsidP="00AE5C0A">
      <w:pPr>
        <w:pStyle w:val="ListParagraph"/>
        <w:numPr>
          <w:ilvl w:val="0"/>
          <w:numId w:val="7"/>
        </w:numPr>
        <w:jc w:val="both"/>
      </w:pPr>
      <w:r w:rsidRPr="00AE5C0A">
        <w:rPr>
          <w:u w:val="single"/>
        </w:rPr>
        <w:t xml:space="preserve">Training in </w:t>
      </w:r>
      <w:r w:rsidR="00690859" w:rsidRPr="00AE5C0A">
        <w:rPr>
          <w:u w:val="single"/>
        </w:rPr>
        <w:t>mechanistic</w:t>
      </w:r>
      <w:r w:rsidRPr="00AE5C0A">
        <w:rPr>
          <w:u w:val="single"/>
        </w:rPr>
        <w:t xml:space="preserve"> biology</w:t>
      </w:r>
      <w:r>
        <w:t xml:space="preserve">: </w:t>
      </w:r>
      <w:r w:rsidRPr="00F024DC">
        <w:t xml:space="preserve">I </w:t>
      </w:r>
      <w:r w:rsidR="00AE5C0A">
        <w:t>l</w:t>
      </w:r>
      <w:r w:rsidR="00AE5C0A" w:rsidRPr="00AE5C0A">
        <w:t>everaged single-cell RNA sequencing and bulk transcriptomics to map immune dysregulation in SSTIs. Current work focuses on how hyper-</w:t>
      </w:r>
      <w:proofErr w:type="spellStart"/>
      <w:r w:rsidR="00AE5C0A" w:rsidRPr="00AE5C0A">
        <w:t>NETosis</w:t>
      </w:r>
      <w:proofErr w:type="spellEnd"/>
      <w:r w:rsidR="00AE5C0A" w:rsidRPr="00AE5C0A">
        <w:t xml:space="preserve"> reshapes the microbiome and immune microenvironment to perpetuate chronic infection.</w:t>
      </w:r>
    </w:p>
    <w:p w14:paraId="6378E7E4" w14:textId="77777777" w:rsidR="00812B46" w:rsidRDefault="00540969" w:rsidP="00812B46">
      <w:pPr>
        <w:pStyle w:val="citationUlliParagraph"/>
        <w:numPr>
          <w:ilvl w:val="0"/>
          <w:numId w:val="7"/>
        </w:numPr>
        <w:spacing w:after="0"/>
        <w:jc w:val="both"/>
      </w:pPr>
      <w:r w:rsidRPr="006A0600">
        <w:rPr>
          <w:u w:val="single"/>
        </w:rPr>
        <w:t>Scientific independence and commitment to high-impact research:</w:t>
      </w:r>
      <w:r>
        <w:t xml:space="preserve"> </w:t>
      </w:r>
      <w:r w:rsidR="00F024DC" w:rsidRPr="00F024DC">
        <w:t xml:space="preserve">As a principal investigator, I have </w:t>
      </w:r>
      <w:r w:rsidR="00F024DC">
        <w:t>received</w:t>
      </w:r>
      <w:r w:rsidR="00F024DC" w:rsidRPr="00F024DC">
        <w:t xml:space="preserve"> </w:t>
      </w:r>
      <w:r w:rsidR="00F024DC">
        <w:t>startup</w:t>
      </w:r>
      <w:r w:rsidR="00F024DC" w:rsidRPr="00F024DC">
        <w:t xml:space="preserve"> </w:t>
      </w:r>
      <w:r w:rsidR="00F024DC">
        <w:t>funds</w:t>
      </w:r>
      <w:r w:rsidR="00F024DC" w:rsidRPr="00F024DC">
        <w:t xml:space="preserve"> and published in </w:t>
      </w:r>
      <w:r w:rsidR="004D409C">
        <w:t>top-tier</w:t>
      </w:r>
      <w:r w:rsidR="00F024DC" w:rsidRPr="00F024DC">
        <w:t xml:space="preserve"> journals such as </w:t>
      </w:r>
      <w:r w:rsidR="00F024DC" w:rsidRPr="006A0600">
        <w:rPr>
          <w:i/>
          <w:iCs/>
        </w:rPr>
        <w:t>Nature Communications</w:t>
      </w:r>
      <w:r w:rsidR="00F024DC" w:rsidRPr="00F024DC">
        <w:t xml:space="preserve">. </w:t>
      </w:r>
      <w:r w:rsidR="006A0600" w:rsidRPr="006A0600">
        <w:t>I lead interdisciplinary collaborations in drug screening and immunotherapeutic development, working closely with PIs at other universities as well as within Marshall.</w:t>
      </w:r>
    </w:p>
    <w:p w14:paraId="78E263CD" w14:textId="4B38AA96" w:rsidR="00540969" w:rsidRPr="00540969" w:rsidRDefault="00540969" w:rsidP="00812B46">
      <w:pPr>
        <w:pStyle w:val="citationUlliParagraph"/>
        <w:numPr>
          <w:ilvl w:val="0"/>
          <w:numId w:val="7"/>
        </w:numPr>
        <w:spacing w:after="0"/>
        <w:jc w:val="both"/>
      </w:pPr>
      <w:r w:rsidRPr="00812B46">
        <w:rPr>
          <w:u w:val="single"/>
        </w:rPr>
        <w:t xml:space="preserve">Commitment to </w:t>
      </w:r>
      <w:r w:rsidR="00141600">
        <w:rPr>
          <w:u w:val="single"/>
        </w:rPr>
        <w:t>mentorship</w:t>
      </w:r>
      <w:r w:rsidRPr="00812B46">
        <w:rPr>
          <w:u w:val="single"/>
        </w:rPr>
        <w:t>:</w:t>
      </w:r>
      <w:r>
        <w:t xml:space="preserve"> </w:t>
      </w:r>
      <w:r w:rsidRPr="00540969">
        <w:t xml:space="preserve">I </w:t>
      </w:r>
      <w:r w:rsidR="007123AF">
        <w:t>a</w:t>
      </w:r>
      <w:r w:rsidR="007123AF" w:rsidRPr="007123AF">
        <w:t xml:space="preserve">ctively mentor trainees, fostering diversity in </w:t>
      </w:r>
      <w:r w:rsidR="00141600">
        <w:t>science</w:t>
      </w:r>
      <w:r w:rsidR="007123AF" w:rsidRPr="007123AF">
        <w:t xml:space="preserve"> through hands-on training</w:t>
      </w:r>
      <w:r w:rsidRPr="00540969">
        <w:t>. My mentorship philosophy emphasizes scientific rigor, innovation-driven inquiry, and translational research in infectious disease immunology.</w:t>
      </w:r>
    </w:p>
    <w:p w14:paraId="42805097" w14:textId="77FC2E96" w:rsidR="00FC345E" w:rsidRDefault="00540969" w:rsidP="00812B46">
      <w:pPr>
        <w:pStyle w:val="citationUlliParagraph"/>
        <w:spacing w:after="0"/>
        <w:ind w:firstLine="360"/>
        <w:jc w:val="both"/>
      </w:pPr>
      <w:r w:rsidRPr="00540969">
        <w:t>W</w:t>
      </w:r>
      <w:r w:rsidR="00F024DC" w:rsidRPr="00F024DC">
        <w:t xml:space="preserve">ith my expertise in immune modulation, polymicrobial pathogenesis, and a comprehensive suite of cutting-edge techniques, I am uniquely positioned to lead this project. </w:t>
      </w:r>
      <w:r w:rsidR="00434D37" w:rsidRPr="00434D37">
        <w:t>This grant will catalyze the development of first-in-class therapies that recalibrate—rather than suppress—the immune response, offering a paradigm shift in diabetic infection management.</w:t>
      </w:r>
    </w:p>
    <w:p w14:paraId="6C6B38E2" w14:textId="77777777" w:rsidR="00434D37" w:rsidRDefault="00434D37" w:rsidP="00A003A7">
      <w:pPr>
        <w:pStyle w:val="citationUlliParagraph"/>
        <w:spacing w:after="0"/>
        <w:ind w:firstLine="360"/>
        <w:jc w:val="both"/>
      </w:pPr>
    </w:p>
    <w:p w14:paraId="08F2AAF1" w14:textId="68EC9492" w:rsidR="00817BDB" w:rsidRDefault="00541D3D" w:rsidP="00A003A7">
      <w:pPr>
        <w:pStyle w:val="citationUlliParagraph"/>
        <w:spacing w:after="0"/>
        <w:ind w:firstLine="360"/>
        <w:jc w:val="both"/>
      </w:pPr>
      <w:r>
        <w:t>M</w:t>
      </w:r>
      <w:r w:rsidR="00817BDB">
        <w:t xml:space="preserve">y Bibliography: </w:t>
      </w:r>
      <w:hyperlink r:id="rId5" w:history="1">
        <w:r w:rsidR="009779C0" w:rsidRPr="009779C0">
          <w:rPr>
            <w:rStyle w:val="Hyperlink"/>
          </w:rPr>
          <w:t>https://www.ncbi.nlm.nih.gov/myncbi/wei.xu.19/bibliography/public/</w:t>
        </w:r>
      </w:hyperlink>
    </w:p>
    <w:p w14:paraId="41CBB0D9" w14:textId="77777777" w:rsidR="00632D62" w:rsidRDefault="00632D62" w:rsidP="00A003A7">
      <w:pPr>
        <w:pStyle w:val="citationUlliParagraph"/>
        <w:spacing w:after="0"/>
        <w:ind w:firstLine="360"/>
        <w:jc w:val="both"/>
      </w:pPr>
    </w:p>
    <w:p w14:paraId="3B8832C0" w14:textId="77777777" w:rsidR="00D50922" w:rsidRDefault="00D50922">
      <w:pPr>
        <w:pStyle w:val="Heading3"/>
        <w:rPr>
          <w:rFonts w:ascii="Arial" w:eastAsia="Arial" w:hAnsi="Arial" w:cs="Arial"/>
          <w:sz w:val="26"/>
          <w:szCs w:val="26"/>
        </w:rPr>
      </w:pPr>
    </w:p>
    <w:p w14:paraId="6C3B6D5E" w14:textId="7CB4B4C7" w:rsidR="005C4BC9" w:rsidRDefault="00000000">
      <w:pPr>
        <w:pStyle w:val="Heading3"/>
      </w:pPr>
      <w:r>
        <w:rPr>
          <w:rFonts w:ascii="Arial" w:eastAsia="Arial" w:hAnsi="Arial" w:cs="Arial"/>
          <w:sz w:val="26"/>
          <w:szCs w:val="26"/>
        </w:rPr>
        <w:t>B. Positions, Scientific Appointments and Honors</w:t>
      </w:r>
    </w:p>
    <w:p w14:paraId="3EDF91FB" w14:textId="77777777" w:rsidR="005C4BC9" w:rsidRDefault="00000000">
      <w:pPr>
        <w:pStyle w:val="h3underline"/>
      </w:pPr>
      <w:r>
        <w:rPr>
          <w:rFonts w:ascii="Arial" w:eastAsia="Arial" w:hAnsi="Arial" w:cs="Arial"/>
          <w:sz w:val="26"/>
          <w:szCs w:val="26"/>
        </w:rPr>
        <w:t>Positions and Scientific Appointments</w:t>
      </w:r>
    </w:p>
    <w:tbl>
      <w:tblPr>
        <w:tblStyle w:val="table"/>
        <w:tblW w:w="5000" w:type="pct"/>
        <w:tblInd w:w="15" w:type="dxa"/>
        <w:tblBorders>
          <w:top w:val="nil"/>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1530"/>
        <w:gridCol w:w="9300"/>
      </w:tblGrid>
      <w:tr w:rsidR="005C4BC9" w14:paraId="722392C3" w14:textId="77777777">
        <w:tc>
          <w:tcPr>
            <w:tcW w:w="1530" w:type="dxa"/>
            <w:tcMar>
              <w:top w:w="15" w:type="dxa"/>
              <w:left w:w="15" w:type="dxa"/>
              <w:bottom w:w="15" w:type="dxa"/>
              <w:right w:w="15" w:type="dxa"/>
            </w:tcMar>
          </w:tcPr>
          <w:p w14:paraId="21F01424" w14:textId="77777777" w:rsidR="005C4BC9" w:rsidRDefault="00000000">
            <w:r>
              <w:t xml:space="preserve">2024 - </w:t>
            </w:r>
          </w:p>
        </w:tc>
        <w:tc>
          <w:tcPr>
            <w:tcW w:w="0" w:type="auto"/>
            <w:tcMar>
              <w:top w:w="15" w:type="dxa"/>
              <w:left w:w="15" w:type="dxa"/>
              <w:bottom w:w="15" w:type="dxa"/>
              <w:right w:w="15" w:type="dxa"/>
            </w:tcMar>
          </w:tcPr>
          <w:p w14:paraId="12416746" w14:textId="77777777" w:rsidR="005C4BC9" w:rsidRDefault="00000000">
            <w:r>
              <w:t>Assistant professor, Marshall University School of Medicine, Huntington, WV</w:t>
            </w:r>
          </w:p>
        </w:tc>
      </w:tr>
      <w:tr w:rsidR="005C4BC9" w14:paraId="30864E65" w14:textId="77777777">
        <w:tc>
          <w:tcPr>
            <w:tcW w:w="1530" w:type="dxa"/>
            <w:tcMar>
              <w:top w:w="15" w:type="dxa"/>
              <w:left w:w="15" w:type="dxa"/>
              <w:bottom w:w="15" w:type="dxa"/>
              <w:right w:w="15" w:type="dxa"/>
            </w:tcMar>
          </w:tcPr>
          <w:p w14:paraId="59C234BB" w14:textId="77777777" w:rsidR="005C4BC9" w:rsidRDefault="00000000">
            <w:r>
              <w:t>2020 - 2024</w:t>
            </w:r>
          </w:p>
        </w:tc>
        <w:tc>
          <w:tcPr>
            <w:tcW w:w="0" w:type="auto"/>
            <w:tcMar>
              <w:top w:w="15" w:type="dxa"/>
              <w:left w:w="15" w:type="dxa"/>
              <w:bottom w:w="15" w:type="dxa"/>
              <w:right w:w="15" w:type="dxa"/>
            </w:tcMar>
          </w:tcPr>
          <w:p w14:paraId="0A6DC75F" w14:textId="77777777" w:rsidR="005C4BC9" w:rsidRDefault="00000000">
            <w:r>
              <w:t>Staff Scientist, Washington University School of Medicine, St. Louis, MO</w:t>
            </w:r>
          </w:p>
        </w:tc>
      </w:tr>
      <w:tr w:rsidR="005C4BC9" w14:paraId="779E2F0E" w14:textId="77777777">
        <w:tc>
          <w:tcPr>
            <w:tcW w:w="1530" w:type="dxa"/>
            <w:tcMar>
              <w:top w:w="15" w:type="dxa"/>
              <w:left w:w="15" w:type="dxa"/>
              <w:bottom w:w="15" w:type="dxa"/>
              <w:right w:w="15" w:type="dxa"/>
            </w:tcMar>
          </w:tcPr>
          <w:p w14:paraId="2B7A4C17" w14:textId="77777777" w:rsidR="005C4BC9" w:rsidRDefault="00000000">
            <w:r>
              <w:t>2014 - 2018</w:t>
            </w:r>
          </w:p>
        </w:tc>
        <w:tc>
          <w:tcPr>
            <w:tcW w:w="0" w:type="auto"/>
            <w:tcMar>
              <w:top w:w="15" w:type="dxa"/>
              <w:left w:w="15" w:type="dxa"/>
              <w:bottom w:w="15" w:type="dxa"/>
              <w:right w:w="15" w:type="dxa"/>
            </w:tcMar>
          </w:tcPr>
          <w:p w14:paraId="0DC5C834" w14:textId="77777777" w:rsidR="005C4BC9" w:rsidRDefault="00000000">
            <w:r>
              <w:t>Postdoctoral fellow, Washington University School of Medicine, St. Louis, MO</w:t>
            </w:r>
          </w:p>
        </w:tc>
      </w:tr>
    </w:tbl>
    <w:p w14:paraId="0A8026D2" w14:textId="77777777" w:rsidR="005C4BC9" w:rsidRDefault="00000000">
      <w:pPr>
        <w:pStyle w:val="h3underline"/>
      </w:pPr>
      <w:r>
        <w:rPr>
          <w:rFonts w:ascii="Arial" w:eastAsia="Arial" w:hAnsi="Arial" w:cs="Arial"/>
          <w:sz w:val="26"/>
          <w:szCs w:val="26"/>
        </w:rPr>
        <w:t>Honors</w:t>
      </w:r>
    </w:p>
    <w:tbl>
      <w:tblPr>
        <w:tblStyle w:val="table"/>
        <w:tblW w:w="5000" w:type="pct"/>
        <w:tblInd w:w="15" w:type="dxa"/>
        <w:tblBorders>
          <w:top w:val="nil"/>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1530"/>
        <w:gridCol w:w="9300"/>
      </w:tblGrid>
      <w:tr w:rsidR="005C4BC9" w14:paraId="120FDE2E" w14:textId="77777777">
        <w:tc>
          <w:tcPr>
            <w:tcW w:w="1530" w:type="dxa"/>
            <w:tcMar>
              <w:top w:w="15" w:type="dxa"/>
              <w:left w:w="15" w:type="dxa"/>
              <w:bottom w:w="15" w:type="dxa"/>
              <w:right w:w="15" w:type="dxa"/>
            </w:tcMar>
          </w:tcPr>
          <w:p w14:paraId="715E0E25" w14:textId="77777777" w:rsidR="005C4BC9" w:rsidRDefault="00000000">
            <w:r>
              <w:t>2017 - 2018</w:t>
            </w:r>
          </w:p>
        </w:tc>
        <w:tc>
          <w:tcPr>
            <w:tcW w:w="0" w:type="auto"/>
            <w:tcMar>
              <w:top w:w="15" w:type="dxa"/>
              <w:left w:w="15" w:type="dxa"/>
              <w:bottom w:w="15" w:type="dxa"/>
              <w:right w:w="15" w:type="dxa"/>
            </w:tcMar>
          </w:tcPr>
          <w:p w14:paraId="405182B3" w14:textId="77777777" w:rsidR="005C4BC9" w:rsidRDefault="00000000">
            <w:r>
              <w:t>Stephen I. Morse Postdoctoral Fellowship, Washington University School of Medicine</w:t>
            </w:r>
          </w:p>
        </w:tc>
      </w:tr>
      <w:tr w:rsidR="005C4BC9" w14:paraId="4F3FD66A" w14:textId="77777777">
        <w:tc>
          <w:tcPr>
            <w:tcW w:w="1530" w:type="dxa"/>
            <w:tcMar>
              <w:top w:w="15" w:type="dxa"/>
              <w:left w:w="15" w:type="dxa"/>
              <w:bottom w:w="15" w:type="dxa"/>
              <w:right w:w="15" w:type="dxa"/>
            </w:tcMar>
          </w:tcPr>
          <w:p w14:paraId="05CB3353" w14:textId="77777777" w:rsidR="005C4BC9" w:rsidRDefault="00000000">
            <w:r>
              <w:t>2014</w:t>
            </w:r>
          </w:p>
        </w:tc>
        <w:tc>
          <w:tcPr>
            <w:tcW w:w="0" w:type="auto"/>
            <w:tcMar>
              <w:top w:w="15" w:type="dxa"/>
              <w:left w:w="15" w:type="dxa"/>
              <w:bottom w:w="15" w:type="dxa"/>
              <w:right w:w="15" w:type="dxa"/>
            </w:tcMar>
          </w:tcPr>
          <w:p w14:paraId="5F7CBBDC" w14:textId="77777777" w:rsidR="005C4BC9" w:rsidRDefault="00000000">
            <w:r>
              <w:t>Summer Dissertation Research Scholarship, Texas Tech University</w:t>
            </w:r>
          </w:p>
        </w:tc>
      </w:tr>
      <w:tr w:rsidR="005C4BC9" w14:paraId="6EE3E201" w14:textId="77777777">
        <w:tc>
          <w:tcPr>
            <w:tcW w:w="1530" w:type="dxa"/>
            <w:tcMar>
              <w:top w:w="15" w:type="dxa"/>
              <w:left w:w="15" w:type="dxa"/>
              <w:bottom w:w="15" w:type="dxa"/>
              <w:right w:w="15" w:type="dxa"/>
            </w:tcMar>
          </w:tcPr>
          <w:p w14:paraId="5F118523" w14:textId="77777777" w:rsidR="005C4BC9" w:rsidRDefault="00000000">
            <w:r>
              <w:t>2013</w:t>
            </w:r>
          </w:p>
        </w:tc>
        <w:tc>
          <w:tcPr>
            <w:tcW w:w="0" w:type="auto"/>
            <w:tcMar>
              <w:top w:w="15" w:type="dxa"/>
              <w:left w:w="15" w:type="dxa"/>
              <w:bottom w:w="15" w:type="dxa"/>
              <w:right w:w="15" w:type="dxa"/>
            </w:tcMar>
          </w:tcPr>
          <w:p w14:paraId="3E2D6762" w14:textId="77777777" w:rsidR="005C4BC9" w:rsidRDefault="00000000">
            <w:r>
              <w:t xml:space="preserve">Grants-In-Aid Award, Texas Tech University </w:t>
            </w:r>
          </w:p>
        </w:tc>
      </w:tr>
      <w:tr w:rsidR="005C4BC9" w14:paraId="316737EE" w14:textId="77777777">
        <w:tc>
          <w:tcPr>
            <w:tcW w:w="1530" w:type="dxa"/>
            <w:tcMar>
              <w:top w:w="15" w:type="dxa"/>
              <w:left w:w="15" w:type="dxa"/>
              <w:bottom w:w="15" w:type="dxa"/>
              <w:right w:w="15" w:type="dxa"/>
            </w:tcMar>
          </w:tcPr>
          <w:p w14:paraId="3762448A" w14:textId="77777777" w:rsidR="005C4BC9" w:rsidRDefault="00000000">
            <w:r>
              <w:t>2012</w:t>
            </w:r>
          </w:p>
        </w:tc>
        <w:tc>
          <w:tcPr>
            <w:tcW w:w="0" w:type="auto"/>
            <w:tcMar>
              <w:top w:w="15" w:type="dxa"/>
              <w:left w:w="15" w:type="dxa"/>
              <w:bottom w:w="15" w:type="dxa"/>
              <w:right w:w="15" w:type="dxa"/>
            </w:tcMar>
          </w:tcPr>
          <w:p w14:paraId="4FEC257E" w14:textId="77777777" w:rsidR="005C4BC9" w:rsidRDefault="00000000">
            <w:r>
              <w:t>Excellent Doctoral candidate Scholarship, Texas Tech University</w:t>
            </w:r>
          </w:p>
        </w:tc>
      </w:tr>
      <w:tr w:rsidR="005C4BC9" w14:paraId="7B761148" w14:textId="77777777">
        <w:tc>
          <w:tcPr>
            <w:tcW w:w="1530" w:type="dxa"/>
            <w:tcMar>
              <w:top w:w="15" w:type="dxa"/>
              <w:left w:w="15" w:type="dxa"/>
              <w:bottom w:w="15" w:type="dxa"/>
              <w:right w:w="15" w:type="dxa"/>
            </w:tcMar>
          </w:tcPr>
          <w:p w14:paraId="5FD9612D" w14:textId="77777777" w:rsidR="005C4BC9" w:rsidRDefault="00000000">
            <w:r>
              <w:t>2011</w:t>
            </w:r>
          </w:p>
        </w:tc>
        <w:tc>
          <w:tcPr>
            <w:tcW w:w="0" w:type="auto"/>
            <w:tcMar>
              <w:top w:w="15" w:type="dxa"/>
              <w:left w:w="15" w:type="dxa"/>
              <w:bottom w:w="15" w:type="dxa"/>
              <w:right w:w="15" w:type="dxa"/>
            </w:tcMar>
          </w:tcPr>
          <w:p w14:paraId="3171F2A2" w14:textId="77777777" w:rsidR="005C4BC9" w:rsidRDefault="00000000">
            <w:r>
              <w:t>Graduate Summer Scholarship, Texas Tech University</w:t>
            </w:r>
          </w:p>
        </w:tc>
      </w:tr>
    </w:tbl>
    <w:p w14:paraId="4033032B" w14:textId="2F29D9E6" w:rsidR="00AA6F5A" w:rsidRPr="00DD7C0F" w:rsidRDefault="00000000" w:rsidP="00DD7C0F">
      <w:pPr>
        <w:pStyle w:val="Heading3"/>
      </w:pPr>
      <w:r>
        <w:rPr>
          <w:rFonts w:ascii="Arial" w:eastAsia="Arial" w:hAnsi="Arial" w:cs="Arial"/>
          <w:sz w:val="26"/>
          <w:szCs w:val="26"/>
        </w:rPr>
        <w:t>C. Contribution to Science</w:t>
      </w:r>
    </w:p>
    <w:p w14:paraId="42AB0560" w14:textId="6232C755" w:rsidR="005C4BC9" w:rsidRPr="00C17DAA" w:rsidRDefault="00000000">
      <w:pPr>
        <w:pStyle w:val="Heading1"/>
        <w:numPr>
          <w:ilvl w:val="0"/>
          <w:numId w:val="1"/>
        </w:numPr>
        <w:spacing w:before="295" w:after="295"/>
        <w:ind w:left="375"/>
        <w:rPr>
          <w:sz w:val="22"/>
          <w:szCs w:val="22"/>
        </w:rPr>
      </w:pPr>
      <w:r w:rsidRPr="00C17DAA">
        <w:rPr>
          <w:rFonts w:ascii="Arial" w:eastAsia="Arial" w:hAnsi="Arial" w:cs="Arial"/>
          <w:sz w:val="22"/>
          <w:szCs w:val="22"/>
        </w:rPr>
        <w:t>Mitigating Tissue Damage during Skin and Soft Tissue Infections</w:t>
      </w:r>
    </w:p>
    <w:p w14:paraId="35FA0AB8" w14:textId="4A8B7128" w:rsidR="005C4BC9" w:rsidRDefault="0009601A" w:rsidP="00944DD9">
      <w:pPr>
        <w:spacing w:before="220" w:after="220"/>
        <w:ind w:left="375"/>
        <w:jc w:val="both"/>
      </w:pPr>
      <w:r>
        <w:t xml:space="preserve">    </w:t>
      </w:r>
      <w:r w:rsidR="00944DD9">
        <w:t xml:space="preserve">During my work in Dr. Michael </w:t>
      </w:r>
      <w:proofErr w:type="spellStart"/>
      <w:r w:rsidR="00944DD9">
        <w:t>Caparon’s</w:t>
      </w:r>
      <w:proofErr w:type="spellEnd"/>
      <w:r w:rsidR="00944DD9">
        <w:t xml:space="preserve"> laboratory, I demonstrated that </w:t>
      </w:r>
      <w:r w:rsidR="00944DD9" w:rsidRPr="00944DD9">
        <w:rPr>
          <w:i/>
          <w:iCs/>
        </w:rPr>
        <w:t>S</w:t>
      </w:r>
      <w:r w:rsidR="00357C7A">
        <w:rPr>
          <w:i/>
          <w:iCs/>
        </w:rPr>
        <w:t>.</w:t>
      </w:r>
      <w:r w:rsidR="00944DD9" w:rsidRPr="00944DD9">
        <w:rPr>
          <w:i/>
          <w:iCs/>
        </w:rPr>
        <w:t xml:space="preserve"> pyogenes</w:t>
      </w:r>
      <w:r w:rsidR="00944DD9">
        <w:t xml:space="preserve"> employs its aerobic fermentation pathway to subvert host disease tolerance—a defense mechanism that preserves tissue integrity and function during infection—in severe skin infections. This manipulation specifically impaired the recruitment of IL-10-producing immune cells, including macrophages and neutrophils, thereby delaying wound healing and exacerbating tissue damage. My research further uncovered that pathogen-derived fermentation byproducts, particularly acetate and </w:t>
      </w:r>
      <w:proofErr w:type="spellStart"/>
      <w:r w:rsidR="00944DD9">
        <w:t>formate</w:t>
      </w:r>
      <w:proofErr w:type="spellEnd"/>
      <w:r w:rsidR="00944DD9">
        <w:t>, disrupt host acetyl-CoA metabolism. This disruption caused dysregulation of lysine acetylation processes, which in turn suppressed IL-10 expression at infection sites. By targeting this metabolic vulnerability with a bacterium-specific pyruvate dehydrogenase (PDH) inhibitor, I successfully reduced infection-driven tissue damage in murine models. This approach highlights a novel therapeutic strategy that specifically disrupts pathogen metabolic adaptation without broad-spectrum antimicrobial effects, offering a promising alternative to traditional antibiotic interventions</w:t>
      </w:r>
      <w:r w:rsidR="00494F9C" w:rsidRPr="00494F9C">
        <w:t>.</w:t>
      </w:r>
    </w:p>
    <w:p w14:paraId="1471A1DB" w14:textId="1C915A18" w:rsidR="00376757" w:rsidRDefault="00376757" w:rsidP="00376757">
      <w:pPr>
        <w:pStyle w:val="citationUlliParagraph"/>
        <w:numPr>
          <w:ilvl w:val="1"/>
          <w:numId w:val="1"/>
        </w:numPr>
        <w:ind w:left="750"/>
        <w:jc w:val="both"/>
      </w:pPr>
      <w:r>
        <w:t>Xu W, Bradstreet T</w:t>
      </w:r>
      <w:r w:rsidR="00AA6F5A">
        <w:t>R</w:t>
      </w:r>
      <w:r>
        <w:t>, Zou Z, Hickerson S, Zhou Y, He H, Edelson B</w:t>
      </w:r>
      <w:r w:rsidR="00142DD1">
        <w:t>T</w:t>
      </w:r>
      <w:r>
        <w:t xml:space="preserve">, </w:t>
      </w:r>
      <w:proofErr w:type="spellStart"/>
      <w:r>
        <w:t>Caparon</w:t>
      </w:r>
      <w:proofErr w:type="spellEnd"/>
      <w:r>
        <w:t xml:space="preserve"> M</w:t>
      </w:r>
      <w:r w:rsidR="00AA6F5A">
        <w:t>G</w:t>
      </w:r>
      <w:r>
        <w:t xml:space="preserve">. </w:t>
      </w:r>
      <w:r w:rsidR="00077036" w:rsidRPr="00077036">
        <w:t xml:space="preserve">Reprogramming </w:t>
      </w:r>
      <w:r w:rsidR="005F0C3A">
        <w:t>a</w:t>
      </w:r>
      <w:r w:rsidR="00077036" w:rsidRPr="00077036">
        <w:t xml:space="preserve">erobic </w:t>
      </w:r>
      <w:r w:rsidR="006E642F">
        <w:t>m</w:t>
      </w:r>
      <w:r w:rsidR="006E642F" w:rsidRPr="00077036">
        <w:t>etabolism</w:t>
      </w:r>
      <w:r w:rsidR="00077036" w:rsidRPr="00077036">
        <w:t xml:space="preserve"> </w:t>
      </w:r>
      <w:r w:rsidR="005F0C3A">
        <w:t>m</w:t>
      </w:r>
      <w:r w:rsidR="00077036" w:rsidRPr="00077036">
        <w:t xml:space="preserve">itigates </w:t>
      </w:r>
      <w:r w:rsidR="00077036" w:rsidRPr="00077036">
        <w:rPr>
          <w:i/>
          <w:iCs/>
        </w:rPr>
        <w:t>Streptococcus pyogenes</w:t>
      </w:r>
      <w:r w:rsidR="00077036" w:rsidRPr="00077036">
        <w:t xml:space="preserve"> </w:t>
      </w:r>
      <w:r w:rsidR="005F0C3A">
        <w:t>t</w:t>
      </w:r>
      <w:r w:rsidR="00077036" w:rsidRPr="00077036">
        <w:t xml:space="preserve">issue </w:t>
      </w:r>
      <w:r w:rsidR="005F0C3A">
        <w:t>d</w:t>
      </w:r>
      <w:r w:rsidR="00077036" w:rsidRPr="00077036">
        <w:t xml:space="preserve">amage in a </w:t>
      </w:r>
      <w:r w:rsidR="005F0C3A">
        <w:t>m</w:t>
      </w:r>
      <w:r w:rsidR="00077036" w:rsidRPr="00077036">
        <w:t xml:space="preserve">ouse </w:t>
      </w:r>
      <w:r w:rsidR="005F0C3A">
        <w:t>n</w:t>
      </w:r>
      <w:r w:rsidR="00077036" w:rsidRPr="00077036">
        <w:t xml:space="preserve">ecrotizing </w:t>
      </w:r>
      <w:r w:rsidR="005F0C3A">
        <w:t>s</w:t>
      </w:r>
      <w:r w:rsidR="00077036" w:rsidRPr="00077036">
        <w:t xml:space="preserve">kin </w:t>
      </w:r>
      <w:r w:rsidR="005F0C3A">
        <w:t>i</w:t>
      </w:r>
      <w:r w:rsidR="00077036" w:rsidRPr="00077036">
        <w:t xml:space="preserve">nfection </w:t>
      </w:r>
      <w:r w:rsidR="005F0C3A">
        <w:t>m</w:t>
      </w:r>
      <w:r w:rsidR="00077036" w:rsidRPr="00077036">
        <w:t>odel</w:t>
      </w:r>
      <w:r>
        <w:t xml:space="preserve">. </w:t>
      </w:r>
      <w:r w:rsidR="00D81059" w:rsidRPr="00D81059">
        <w:rPr>
          <w:i/>
          <w:iCs/>
        </w:rPr>
        <w:t>Nat Commun</w:t>
      </w:r>
      <w:r w:rsidR="00D81059" w:rsidRPr="00D81059">
        <w:t xml:space="preserve"> </w:t>
      </w:r>
      <w:r w:rsidR="00142DD1" w:rsidRPr="00142DD1">
        <w:t>2025 Mar 15;16(1):2559. PubMed Central ID: PMC11910614.</w:t>
      </w:r>
      <w:r>
        <w:t xml:space="preserve"> </w:t>
      </w:r>
    </w:p>
    <w:p w14:paraId="5479FC53" w14:textId="06A21E50" w:rsidR="005C4BC9" w:rsidRDefault="00000000" w:rsidP="00C17DAA">
      <w:pPr>
        <w:pStyle w:val="citationUlliParagraph"/>
        <w:numPr>
          <w:ilvl w:val="1"/>
          <w:numId w:val="1"/>
        </w:numPr>
        <w:ind w:left="750"/>
        <w:jc w:val="both"/>
      </w:pPr>
      <w:r>
        <w:t xml:space="preserve">Zou Z, Singh P, </w:t>
      </w:r>
      <w:proofErr w:type="spellStart"/>
      <w:r>
        <w:t>Pinkner</w:t>
      </w:r>
      <w:proofErr w:type="spellEnd"/>
      <w:r>
        <w:t xml:space="preserve"> JS, Obernuefemann CLP, Xu W, Nye TM, Dodson KW, Almqvist F, Hultgren SJ, </w:t>
      </w:r>
      <w:proofErr w:type="spellStart"/>
      <w:r>
        <w:t>Caparon</w:t>
      </w:r>
      <w:proofErr w:type="spellEnd"/>
      <w:r>
        <w:t xml:space="preserve"> MG. </w:t>
      </w:r>
      <w:proofErr w:type="spellStart"/>
      <w:r>
        <w:t>Dihydrothiazolo</w:t>
      </w:r>
      <w:proofErr w:type="spellEnd"/>
      <w:r>
        <w:t xml:space="preserve"> ring-fused 2-pyridone antimicrobial compounds treat </w:t>
      </w:r>
      <w:r w:rsidRPr="00442C46">
        <w:rPr>
          <w:i/>
          <w:iCs/>
        </w:rPr>
        <w:t>Streptococcus pyogenes</w:t>
      </w:r>
      <w:r>
        <w:t xml:space="preserve"> skin and soft tissue infection. Sci Adv. 2024 Aug 2;10(31</w:t>
      </w:r>
      <w:proofErr w:type="gramStart"/>
      <w:r>
        <w:t>):eadn</w:t>
      </w:r>
      <w:proofErr w:type="gramEnd"/>
      <w:r>
        <w:t xml:space="preserve">7979. PubMed Central PMCID: PMC11296344. </w:t>
      </w:r>
    </w:p>
    <w:p w14:paraId="1CAEF011" w14:textId="77777777" w:rsidR="005C4BC9" w:rsidRDefault="00000000" w:rsidP="00C17DAA">
      <w:pPr>
        <w:pStyle w:val="citationUlliParagraph"/>
        <w:numPr>
          <w:ilvl w:val="1"/>
          <w:numId w:val="1"/>
        </w:numPr>
        <w:ind w:left="750"/>
        <w:jc w:val="both"/>
      </w:pPr>
      <w:r>
        <w:t xml:space="preserve">Merriman JA, Xu W, </w:t>
      </w:r>
      <w:proofErr w:type="spellStart"/>
      <w:r>
        <w:t>Caparon</w:t>
      </w:r>
      <w:proofErr w:type="spellEnd"/>
      <w:r>
        <w:t xml:space="preserve"> MG. Central carbon flux controls growth/damage balance for </w:t>
      </w:r>
      <w:r w:rsidRPr="00442C46">
        <w:rPr>
          <w:i/>
          <w:iCs/>
        </w:rPr>
        <w:t>Streptococcus pyogenes</w:t>
      </w:r>
      <w:r>
        <w:t xml:space="preserve">. </w:t>
      </w:r>
      <w:proofErr w:type="spellStart"/>
      <w:r>
        <w:t>PLoS</w:t>
      </w:r>
      <w:proofErr w:type="spellEnd"/>
      <w:r>
        <w:t xml:space="preserve"> </w:t>
      </w:r>
      <w:proofErr w:type="spellStart"/>
      <w:r>
        <w:t>Pathog</w:t>
      </w:r>
      <w:proofErr w:type="spellEnd"/>
      <w:r>
        <w:t>. 2023 Jun;19(6</w:t>
      </w:r>
      <w:proofErr w:type="gramStart"/>
      <w:r>
        <w:t>):e</w:t>
      </w:r>
      <w:proofErr w:type="gramEnd"/>
      <w:r>
        <w:t xml:space="preserve">1011481. PubMed Central PMCID: PMC10337930. </w:t>
      </w:r>
    </w:p>
    <w:p w14:paraId="7E3C7B56" w14:textId="2AA484FA" w:rsidR="005C4BC9" w:rsidRPr="00C17DAA" w:rsidRDefault="00000000">
      <w:pPr>
        <w:pStyle w:val="Heading1"/>
        <w:numPr>
          <w:ilvl w:val="0"/>
          <w:numId w:val="1"/>
        </w:numPr>
        <w:spacing w:before="295" w:after="295"/>
        <w:ind w:left="375"/>
        <w:rPr>
          <w:sz w:val="22"/>
          <w:szCs w:val="22"/>
        </w:rPr>
      </w:pPr>
      <w:r w:rsidRPr="00C17DAA">
        <w:rPr>
          <w:rFonts w:ascii="Arial" w:eastAsia="Arial" w:hAnsi="Arial" w:cs="Arial"/>
          <w:sz w:val="22"/>
          <w:szCs w:val="22"/>
        </w:rPr>
        <w:t>Identify Role of Proteases in Catheter-Associated Urinary Tract Infections (CAUTI)</w:t>
      </w:r>
    </w:p>
    <w:p w14:paraId="37D1FAE7" w14:textId="0241720E" w:rsidR="00E93D6B" w:rsidRDefault="0009601A" w:rsidP="00776691">
      <w:pPr>
        <w:spacing w:before="220" w:after="220"/>
        <w:ind w:left="375"/>
        <w:jc w:val="both"/>
      </w:pPr>
      <w:r>
        <w:t xml:space="preserve">    </w:t>
      </w:r>
      <w:r w:rsidR="00776691">
        <w:t xml:space="preserve">As a postdoctoral fellow in the laboratories of Drs. Scott Hultgren and Michael </w:t>
      </w:r>
      <w:proofErr w:type="spellStart"/>
      <w:r w:rsidR="00776691">
        <w:t>Caparon</w:t>
      </w:r>
      <w:proofErr w:type="spellEnd"/>
      <w:r w:rsidR="00776691">
        <w:t xml:space="preserve">, I investigated the mechanistic role of bacterial proteases in catheter-associated urinary tract infections (CAUTI) caused by </w:t>
      </w:r>
      <w:r w:rsidR="00776691" w:rsidRPr="00776691">
        <w:rPr>
          <w:i/>
          <w:iCs/>
        </w:rPr>
        <w:t>Enterococcus faecalis</w:t>
      </w:r>
      <w:r w:rsidR="00776691">
        <w:t>. My work established that the pathogen’s secreted protease system (GelE-</w:t>
      </w:r>
      <w:proofErr w:type="spellStart"/>
      <w:r w:rsidR="00776691">
        <w:t>SprE</w:t>
      </w:r>
      <w:proofErr w:type="spellEnd"/>
      <w:r w:rsidR="00776691">
        <w:t xml:space="preserve">) is essential for fibrinogen degradation, biofilm formation, and nutrient acquisition, enabling persistent infection. By administering protease inhibitors in a murine CAUTI model, I achieved a significant reduction in bacterial proliferation, host inflammation, and systemic dissemination. Notably, I identified the cysteine protease inhibitor E64 as a promising therapeutic candidate. Treatment with E64 not only diminished bladder inflammation and bacterial burdens but also revealed an unexpected mechanism: E64 disrupts </w:t>
      </w:r>
      <w:r w:rsidR="00776691">
        <w:lastRenderedPageBreak/>
        <w:t xml:space="preserve">host-pathogen </w:t>
      </w:r>
      <w:r w:rsidR="007B29CA">
        <w:t>crosstalk</w:t>
      </w:r>
      <w:r w:rsidR="00776691">
        <w:t xml:space="preserve"> by inhibiting caspase-1-dependent apoptosis and necrosis, thereby attenuating pro-inflammatory cytokine release (IL-1β, IL-6) and limiting bladder epithelial damage. Further studies demonstrated that E64 modulates host eosinophil activity, impairing their recruitment and pathogen-adjuvant functions. Complementary experiments with </w:t>
      </w:r>
      <w:proofErr w:type="spellStart"/>
      <w:r w:rsidR="00776691">
        <w:t>eotaxin</w:t>
      </w:r>
      <w:proofErr w:type="spellEnd"/>
      <w:r w:rsidR="00776691">
        <w:t>, a chemokine regulating eosinophil trafficking, validated their critical role in infection control. Collectively, these findings position host and bacterial cysteine proteases as dual therapeutic targets to disrupt persistent CAUTI—a strategy that bypasses traditional antibiotics and mitigates risks of resistance</w:t>
      </w:r>
      <w:r>
        <w:t>.</w:t>
      </w:r>
    </w:p>
    <w:p w14:paraId="7A24A692" w14:textId="7DC1F9A4" w:rsidR="00E93D6B" w:rsidRDefault="00E93D6B" w:rsidP="00E93D6B">
      <w:pPr>
        <w:pStyle w:val="ListParagraph"/>
        <w:numPr>
          <w:ilvl w:val="0"/>
          <w:numId w:val="2"/>
        </w:numPr>
        <w:spacing w:before="220" w:after="220"/>
        <w:jc w:val="both"/>
      </w:pPr>
      <w:r>
        <w:t xml:space="preserve">Xu W, Chen J, McLellan LK, Flores-Mireles AL, Hunstad DA, </w:t>
      </w:r>
      <w:proofErr w:type="spellStart"/>
      <w:r>
        <w:t>Caparon</w:t>
      </w:r>
      <w:proofErr w:type="spellEnd"/>
      <w:r>
        <w:t xml:space="preserve"> MG. Host Cysteine Proteases Promote Severity of Catheter-Associated Urinary Tract Infection and Kidney Fibrosis. mBio. In-submission.</w:t>
      </w:r>
    </w:p>
    <w:p w14:paraId="23AB7818" w14:textId="77777777" w:rsidR="00E93D6B" w:rsidRDefault="00000000" w:rsidP="00E93D6B">
      <w:pPr>
        <w:pStyle w:val="ListParagraph"/>
        <w:numPr>
          <w:ilvl w:val="0"/>
          <w:numId w:val="2"/>
        </w:numPr>
        <w:spacing w:before="220" w:after="220"/>
        <w:jc w:val="both"/>
      </w:pPr>
      <w:r>
        <w:t xml:space="preserve">Molina JJ, Kohler KN, Gager C, Andersen MJ, Wongso E, Lucas ER, Paik A, Xu W, Donahue DL, Bergeron K, Klim A, </w:t>
      </w:r>
      <w:proofErr w:type="spellStart"/>
      <w:r>
        <w:t>Caparon</w:t>
      </w:r>
      <w:proofErr w:type="spellEnd"/>
      <w:r>
        <w:t xml:space="preserve"> MG, Hultgren SJ, Desai A, </w:t>
      </w:r>
      <w:proofErr w:type="spellStart"/>
      <w:r>
        <w:t>Ploplis</w:t>
      </w:r>
      <w:proofErr w:type="spellEnd"/>
      <w:r>
        <w:t xml:space="preserve"> VA, Flick MJ, Castellino FJ, Flores-Mireles AL. Fibrinolytic-deficiencies predispose hosts to septicemia from a catheter-associated UTI. Nat Commun. 2024 Mar 27;15(1):2704. PubMed Central PMCID: PMC10973455. </w:t>
      </w:r>
    </w:p>
    <w:p w14:paraId="61C1814F" w14:textId="6C58BF30" w:rsidR="005C4BC9" w:rsidRDefault="00000000" w:rsidP="00E93D6B">
      <w:pPr>
        <w:pStyle w:val="ListParagraph"/>
        <w:numPr>
          <w:ilvl w:val="0"/>
          <w:numId w:val="2"/>
        </w:numPr>
        <w:spacing w:before="220" w:after="220"/>
        <w:jc w:val="both"/>
      </w:pPr>
      <w:r>
        <w:t xml:space="preserve">Xu W, Flores-Mireles AL, Cusumano ZT, Takagi E, Hultgren SJ, </w:t>
      </w:r>
      <w:proofErr w:type="spellStart"/>
      <w:r w:rsidR="00E93D6B">
        <w:t>Caparon</w:t>
      </w:r>
      <w:proofErr w:type="spellEnd"/>
      <w:r w:rsidR="00E93D6B">
        <w:t xml:space="preserve"> MG</w:t>
      </w:r>
      <w:r>
        <w:t xml:space="preserve">. Host and bacterial proteases influence biofilm formation and virulence in a murine model of enterococcal catheter-associated urinary tract infection. NPJ Biofilms Microbiomes. </w:t>
      </w:r>
      <w:proofErr w:type="gramStart"/>
      <w:r>
        <w:t>2017;3:28</w:t>
      </w:r>
      <w:proofErr w:type="gramEnd"/>
      <w:r>
        <w:t xml:space="preserve">. PubMed Central PMCID: PMC5673934. </w:t>
      </w:r>
    </w:p>
    <w:p w14:paraId="578A9840" w14:textId="77777777" w:rsidR="005C4BC9" w:rsidRPr="00C17DAA" w:rsidRDefault="00000000">
      <w:pPr>
        <w:pStyle w:val="Heading1"/>
        <w:numPr>
          <w:ilvl w:val="0"/>
          <w:numId w:val="1"/>
        </w:numPr>
        <w:spacing w:before="295" w:after="295"/>
        <w:ind w:left="375"/>
        <w:rPr>
          <w:sz w:val="22"/>
          <w:szCs w:val="22"/>
        </w:rPr>
      </w:pPr>
      <w:r w:rsidRPr="00C17DAA">
        <w:rPr>
          <w:rFonts w:ascii="Arial" w:eastAsia="Arial" w:hAnsi="Arial" w:cs="Arial"/>
          <w:sz w:val="22"/>
          <w:szCs w:val="22"/>
        </w:rPr>
        <w:t xml:space="preserve">Unraveling the Molecular Mechanisms of Soft Tissue Infections by </w:t>
      </w:r>
      <w:r w:rsidRPr="00C17DAA">
        <w:rPr>
          <w:rFonts w:ascii="Arial" w:eastAsia="Arial" w:hAnsi="Arial" w:cs="Arial"/>
          <w:i/>
          <w:iCs/>
          <w:sz w:val="22"/>
          <w:szCs w:val="22"/>
        </w:rPr>
        <w:t>Leishmania</w:t>
      </w:r>
      <w:r w:rsidRPr="00C17DAA">
        <w:rPr>
          <w:rFonts w:ascii="Arial" w:eastAsia="Arial" w:hAnsi="Arial" w:cs="Arial"/>
          <w:sz w:val="22"/>
          <w:szCs w:val="22"/>
        </w:rPr>
        <w:t xml:space="preserve"> Parasite</w:t>
      </w:r>
    </w:p>
    <w:p w14:paraId="7AFFC64F" w14:textId="3F7E47CA" w:rsidR="005C4BC9" w:rsidRDefault="0009601A" w:rsidP="00FF791C">
      <w:pPr>
        <w:spacing w:before="220" w:after="220"/>
        <w:ind w:left="375"/>
        <w:jc w:val="both"/>
      </w:pPr>
      <w:r>
        <w:t xml:space="preserve">    </w:t>
      </w:r>
      <w:r w:rsidR="00FF791C" w:rsidRPr="00FF791C">
        <w:t>As a graduate student in Dr. Kai Zhang’s laboratory, I elucidated molecular mechanisms enabling </w:t>
      </w:r>
      <w:r w:rsidR="00FF791C" w:rsidRPr="00FF791C">
        <w:rPr>
          <w:i/>
          <w:iCs/>
        </w:rPr>
        <w:t>Leishmania</w:t>
      </w:r>
      <w:r w:rsidR="00FF791C" w:rsidRPr="00FF791C">
        <w:t xml:space="preserve"> parasites to adapt to hostile host environments, with a focus on lipid metabolism—a cornerstone of their pathogenicity. My work centered on the parasite’s unique lipid biosynthesis pathways, which are critical for membrane integrity and resilience under stress. Through functional and biochemical studies, I </w:t>
      </w:r>
      <w:r w:rsidR="00FF791C" w:rsidRPr="007B29CA">
        <w:t xml:space="preserve">identified four novel virulence-associated enzymes: inositol phosphosphingolipid phospholipase C-like, sterol C-14 demethylase, sterol methyltransferase, and cyclopropane fatty acid synthase. Mechanistically, these enzymes govern the synthesis of specialized membrane lipids that enhance parasite stress tolerance, evasion of host immune defenses, and establishment of infection in animal models. </w:t>
      </w:r>
      <w:r w:rsidR="00FF791C" w:rsidRPr="00FF791C">
        <w:t>My findings not only expanded the known repertoire of </w:t>
      </w:r>
      <w:r w:rsidR="00FF791C" w:rsidRPr="00FF791C">
        <w:rPr>
          <w:i/>
          <w:iCs/>
        </w:rPr>
        <w:t>Leishmania</w:t>
      </w:r>
      <w:r w:rsidR="00FF791C" w:rsidRPr="00FF791C">
        <w:t> virulence factors but also revealed these lipid metabolic enzymes as druggable targets for antiparasitic therapy. By linking their activity to parasite survival and infectivity, my work provides a biochemical roadmap for developing inhibitors that disrupt membrane stability or stress adaptation—strategies that could circumvent existing drug resistance mechanisms. This research underscores the therapeutic potential of targeting lipid metabolism to combat intracellular pathogens with high clinical unmet need</w:t>
      </w:r>
      <w:r w:rsidR="00F105D5">
        <w:t>.</w:t>
      </w:r>
    </w:p>
    <w:p w14:paraId="4167B697" w14:textId="77777777" w:rsidR="005C4BC9" w:rsidRDefault="00000000" w:rsidP="00C17DAA">
      <w:pPr>
        <w:pStyle w:val="citationUlliParagraph"/>
        <w:numPr>
          <w:ilvl w:val="1"/>
          <w:numId w:val="3"/>
        </w:numPr>
        <w:ind w:left="750"/>
        <w:jc w:val="both"/>
      </w:pPr>
      <w:r>
        <w:t xml:space="preserve">Mukherjee S, Moitra S, Xu W, Hernandez V, Zhang K. Sterol 14-α-demethylase is vital for mitochondrial functions and stress tolerance in </w:t>
      </w:r>
      <w:r w:rsidRPr="00442C46">
        <w:rPr>
          <w:i/>
          <w:iCs/>
        </w:rPr>
        <w:t>Leishmania major</w:t>
      </w:r>
      <w:r>
        <w:t xml:space="preserve">. </w:t>
      </w:r>
      <w:proofErr w:type="spellStart"/>
      <w:r>
        <w:t>PLoS</w:t>
      </w:r>
      <w:proofErr w:type="spellEnd"/>
      <w:r>
        <w:t xml:space="preserve"> </w:t>
      </w:r>
      <w:proofErr w:type="spellStart"/>
      <w:r>
        <w:t>Pathog</w:t>
      </w:r>
      <w:proofErr w:type="spellEnd"/>
      <w:r>
        <w:t>. 2020 Aug;16(8</w:t>
      </w:r>
      <w:proofErr w:type="gramStart"/>
      <w:r>
        <w:t>):e</w:t>
      </w:r>
      <w:proofErr w:type="gramEnd"/>
      <w:r>
        <w:t xml:space="preserve">1008810. PubMed Central PMCID: PMC7462297. </w:t>
      </w:r>
    </w:p>
    <w:p w14:paraId="42D49C4B" w14:textId="77777777" w:rsidR="005C4BC9" w:rsidRDefault="00000000" w:rsidP="00C17DAA">
      <w:pPr>
        <w:pStyle w:val="citationUlliParagraph"/>
        <w:numPr>
          <w:ilvl w:val="1"/>
          <w:numId w:val="3"/>
        </w:numPr>
        <w:ind w:left="750"/>
        <w:jc w:val="both"/>
      </w:pPr>
      <w:r>
        <w:t xml:space="preserve">Xu W, Mukherjee S, Ning Y, Hsu FF, Zhang K. Cyclopropane fatty acid synthesis affects cell shape and acid resistance in </w:t>
      </w:r>
      <w:r w:rsidRPr="00442C46">
        <w:rPr>
          <w:i/>
          <w:iCs/>
        </w:rPr>
        <w:t xml:space="preserve">Leishmania </w:t>
      </w:r>
      <w:proofErr w:type="spellStart"/>
      <w:r w:rsidRPr="00442C46">
        <w:rPr>
          <w:i/>
          <w:iCs/>
        </w:rPr>
        <w:t>mexicana</w:t>
      </w:r>
      <w:proofErr w:type="spellEnd"/>
      <w:r>
        <w:t xml:space="preserve">. Int J </w:t>
      </w:r>
      <w:proofErr w:type="spellStart"/>
      <w:r>
        <w:t>Parasitol</w:t>
      </w:r>
      <w:proofErr w:type="spellEnd"/>
      <w:r>
        <w:t xml:space="preserve">. 2018 Mar;48(3-4):245-256. PubMed Central PMCID: PMC5844833. </w:t>
      </w:r>
    </w:p>
    <w:p w14:paraId="717CB020" w14:textId="4C29B530" w:rsidR="005C4BC9" w:rsidRDefault="00000000" w:rsidP="00C17DAA">
      <w:pPr>
        <w:pStyle w:val="citationUlliParagraph"/>
        <w:numPr>
          <w:ilvl w:val="1"/>
          <w:numId w:val="3"/>
        </w:numPr>
        <w:ind w:left="750"/>
        <w:jc w:val="both"/>
      </w:pPr>
      <w:r>
        <w:t xml:space="preserve">Xu W, Hsu FF, Baykal E, Huang J, Zhang K. Sterol biosynthesis is required for heat resistance but not extracellular survival in </w:t>
      </w:r>
      <w:r w:rsidR="00442C46" w:rsidRPr="00442C46">
        <w:rPr>
          <w:i/>
          <w:iCs/>
        </w:rPr>
        <w:t>L</w:t>
      </w:r>
      <w:r w:rsidRPr="00442C46">
        <w:rPr>
          <w:i/>
          <w:iCs/>
        </w:rPr>
        <w:t>eishmania</w:t>
      </w:r>
      <w:r>
        <w:t xml:space="preserve">. </w:t>
      </w:r>
      <w:proofErr w:type="spellStart"/>
      <w:r>
        <w:t>PLoS</w:t>
      </w:r>
      <w:proofErr w:type="spellEnd"/>
      <w:r>
        <w:t xml:space="preserve"> </w:t>
      </w:r>
      <w:proofErr w:type="spellStart"/>
      <w:r>
        <w:t>Pathog</w:t>
      </w:r>
      <w:proofErr w:type="spellEnd"/>
      <w:r>
        <w:t>. 2014 Oct;10(10</w:t>
      </w:r>
      <w:proofErr w:type="gramStart"/>
      <w:r>
        <w:t>):e</w:t>
      </w:r>
      <w:proofErr w:type="gramEnd"/>
      <w:r>
        <w:t xml:space="preserve">1004427. PubMed Central PMCID: PMC4207814. </w:t>
      </w:r>
    </w:p>
    <w:p w14:paraId="577DB562" w14:textId="77777777" w:rsidR="005C4BC9" w:rsidRDefault="00000000" w:rsidP="00C17DAA">
      <w:pPr>
        <w:pStyle w:val="citationUlliParagraph"/>
        <w:numPr>
          <w:ilvl w:val="1"/>
          <w:numId w:val="3"/>
        </w:numPr>
        <w:spacing w:after="220"/>
        <w:ind w:left="750"/>
        <w:jc w:val="both"/>
      </w:pPr>
      <w:r>
        <w:t xml:space="preserve">Xu W, Xin L, Soong L, Zhang K. Sphingolipid degradation by </w:t>
      </w:r>
      <w:r w:rsidRPr="00442C46">
        <w:rPr>
          <w:i/>
          <w:iCs/>
        </w:rPr>
        <w:t>Leishmania major</w:t>
      </w:r>
      <w:r>
        <w:t xml:space="preserve"> is required for its resistance to acidic pH in the mammalian host. Infect Immun. 2011 Aug;79(8):3377-87. PubMed Central PMCID: PMC3147570. </w:t>
      </w:r>
    </w:p>
    <w:p w14:paraId="38A55339" w14:textId="77777777" w:rsidR="00DD7C0F" w:rsidRDefault="00DD7C0F" w:rsidP="00DD7C0F">
      <w:pPr>
        <w:pStyle w:val="Heading1"/>
        <w:numPr>
          <w:ilvl w:val="0"/>
          <w:numId w:val="1"/>
        </w:numPr>
        <w:spacing w:before="295" w:after="295"/>
        <w:ind w:left="375"/>
        <w:rPr>
          <w:rFonts w:ascii="Arial" w:eastAsia="Arial" w:hAnsi="Arial" w:cs="Arial"/>
          <w:sz w:val="22"/>
          <w:szCs w:val="22"/>
        </w:rPr>
      </w:pPr>
      <w:r w:rsidRPr="00AA6F5A">
        <w:rPr>
          <w:rFonts w:ascii="Arial" w:eastAsia="Arial" w:hAnsi="Arial" w:cs="Arial"/>
          <w:sz w:val="22"/>
          <w:szCs w:val="22"/>
        </w:rPr>
        <w:t>Hyper-</w:t>
      </w:r>
      <w:proofErr w:type="spellStart"/>
      <w:r w:rsidRPr="00AA6F5A">
        <w:rPr>
          <w:rFonts w:ascii="Arial" w:eastAsia="Arial" w:hAnsi="Arial" w:cs="Arial"/>
          <w:sz w:val="22"/>
          <w:szCs w:val="22"/>
        </w:rPr>
        <w:t>NETosis</w:t>
      </w:r>
      <w:proofErr w:type="spellEnd"/>
      <w:r w:rsidRPr="00AA6F5A">
        <w:rPr>
          <w:rFonts w:ascii="Arial" w:eastAsia="Arial" w:hAnsi="Arial" w:cs="Arial"/>
          <w:sz w:val="22"/>
          <w:szCs w:val="22"/>
        </w:rPr>
        <w:t xml:space="preserve"> Drives Diabetic Skin Infection Severity and Polymicrobial Pathogenesis</w:t>
      </w:r>
    </w:p>
    <w:p w14:paraId="39767B23" w14:textId="77777777" w:rsidR="00DD7C0F" w:rsidRPr="00AA6F5A" w:rsidRDefault="00DD7C0F" w:rsidP="00DD7C0F">
      <w:pPr>
        <w:spacing w:before="220" w:after="220"/>
        <w:ind w:left="360" w:firstLine="270"/>
        <w:jc w:val="both"/>
      </w:pPr>
      <w:r w:rsidRPr="00AA6F5A">
        <w:t>My</w:t>
      </w:r>
      <w:r w:rsidRPr="00DD7C0F">
        <w:t xml:space="preserve"> </w:t>
      </w:r>
      <w:r>
        <w:t xml:space="preserve">current </w:t>
      </w:r>
      <w:r w:rsidRPr="00DD7C0F">
        <w:t>research identifies hyper-</w:t>
      </w:r>
      <w:proofErr w:type="spellStart"/>
      <w:r w:rsidRPr="00DD7C0F">
        <w:t>NETosis</w:t>
      </w:r>
      <w:proofErr w:type="spellEnd"/>
      <w:r>
        <w:t xml:space="preserve"> </w:t>
      </w:r>
      <w:r w:rsidRPr="00DD7C0F">
        <w:t xml:space="preserve">as a key driver of diabetic skin and soft tissue infections (DSSTIs). In diabetic murine models, </w:t>
      </w:r>
      <w:r w:rsidRPr="00DD7C0F">
        <w:rPr>
          <w:i/>
          <w:iCs/>
        </w:rPr>
        <w:t>S. aureus</w:t>
      </w:r>
      <w:r w:rsidRPr="00DD7C0F">
        <w:t xml:space="preserve"> and </w:t>
      </w:r>
      <w:r w:rsidRPr="00DD7C0F">
        <w:rPr>
          <w:i/>
          <w:iCs/>
        </w:rPr>
        <w:t>S. pyogenes</w:t>
      </w:r>
      <w:r w:rsidRPr="00DD7C0F">
        <w:t xml:space="preserve"> produced larger lesions and higher bacterial burdens, with </w:t>
      </w:r>
      <w:r w:rsidRPr="00DD7C0F">
        <w:rPr>
          <w:i/>
          <w:iCs/>
        </w:rPr>
        <w:t>S. pyogenes</w:t>
      </w:r>
      <w:r w:rsidRPr="00DD7C0F">
        <w:t xml:space="preserve"> causing non-healing ulcers characterized by polymicrobial dominance. </w:t>
      </w:r>
      <w:r w:rsidRPr="00DD7C0F">
        <w:lastRenderedPageBreak/>
        <w:t xml:space="preserve">Despite lower neutrophil counts, these ulcers exhibited excessive </w:t>
      </w:r>
      <w:proofErr w:type="spellStart"/>
      <w:r w:rsidRPr="00DD7C0F">
        <w:t>NETosis</w:t>
      </w:r>
      <w:proofErr w:type="spellEnd"/>
      <w:r w:rsidRPr="00DD7C0F">
        <w:t xml:space="preserve">, implicating NET dysregulation in disease progression. Diabetic mice lacking PAD4 showed smaller lesions, faster healing, and reduced bacterial loads, confirming NET-mediated tissue damage. Moreover, polymicrobial infections—especially </w:t>
      </w:r>
      <w:r w:rsidRPr="00DD7C0F">
        <w:rPr>
          <w:i/>
          <w:iCs/>
        </w:rPr>
        <w:t>S. pyogenes</w:t>
      </w:r>
      <w:r w:rsidRPr="00DD7C0F">
        <w:t>–</w:t>
      </w:r>
      <w:r w:rsidRPr="00DD7C0F">
        <w:rPr>
          <w:i/>
          <w:iCs/>
        </w:rPr>
        <w:t>E. coli</w:t>
      </w:r>
      <w:r w:rsidRPr="00DD7C0F">
        <w:t xml:space="preserve"> co-infection—exacerbated hyper-</w:t>
      </w:r>
      <w:proofErr w:type="spellStart"/>
      <w:r w:rsidRPr="00DD7C0F">
        <w:t>NETosis</w:t>
      </w:r>
      <w:proofErr w:type="spellEnd"/>
      <w:r>
        <w:t xml:space="preserve">. </w:t>
      </w:r>
      <w:r w:rsidRPr="00DD7C0F">
        <w:t>These findings establish diabetic NET dysregulation destabilizes tissue barriers, promotes polymicrobial expansion, and fuels chronic inflammation, suggesting PAD4 targeting as a promising therapeutic strategy</w:t>
      </w:r>
      <w:r>
        <w:t>.</w:t>
      </w:r>
    </w:p>
    <w:p w14:paraId="115EC7DB" w14:textId="3F3C61B6" w:rsidR="00DD7C0F" w:rsidRDefault="00DD7C0F" w:rsidP="00DD7C0F">
      <w:pPr>
        <w:pStyle w:val="citationUlliParagraph"/>
        <w:numPr>
          <w:ilvl w:val="1"/>
          <w:numId w:val="1"/>
        </w:numPr>
        <w:ind w:left="720"/>
        <w:jc w:val="both"/>
      </w:pPr>
      <w:r>
        <w:t xml:space="preserve">Xu W, </w:t>
      </w:r>
      <w:r w:rsidR="00771D4F">
        <w:t xml:space="preserve">Liu S, </w:t>
      </w:r>
      <w:r>
        <w:t xml:space="preserve">Olson BS, Rosen A, Kau A, Hickerson S, </w:t>
      </w:r>
      <w:proofErr w:type="spellStart"/>
      <w:r>
        <w:t>Caparon</w:t>
      </w:r>
      <w:proofErr w:type="spellEnd"/>
      <w:r>
        <w:t xml:space="preserve"> M. </w:t>
      </w:r>
      <w:r w:rsidRPr="00DD7C0F">
        <w:t xml:space="preserve">Diabetic </w:t>
      </w:r>
      <w:r w:rsidR="00DC2029">
        <w:t>h</w:t>
      </w:r>
      <w:r w:rsidRPr="00DD7C0F">
        <w:t xml:space="preserve">yperglycemia </w:t>
      </w:r>
      <w:r w:rsidR="00DC2029">
        <w:t>p</w:t>
      </w:r>
      <w:r w:rsidRPr="00DD7C0F">
        <w:t xml:space="preserve">rimes </w:t>
      </w:r>
      <w:r w:rsidR="00DC2029">
        <w:t>h</w:t>
      </w:r>
      <w:r w:rsidRPr="00DD7C0F">
        <w:t>yper-</w:t>
      </w:r>
      <w:proofErr w:type="spellStart"/>
      <w:r w:rsidRPr="00DD7C0F">
        <w:t>NETosis</w:t>
      </w:r>
      <w:proofErr w:type="spellEnd"/>
      <w:r w:rsidRPr="00DD7C0F">
        <w:t xml:space="preserve"> in </w:t>
      </w:r>
      <w:r w:rsidR="00DC2029">
        <w:t>s</w:t>
      </w:r>
      <w:r w:rsidRPr="00DD7C0F">
        <w:t xml:space="preserve">kin and </w:t>
      </w:r>
      <w:r w:rsidR="00DC2029">
        <w:t>s</w:t>
      </w:r>
      <w:r w:rsidRPr="00DD7C0F">
        <w:t xml:space="preserve">oft </w:t>
      </w:r>
      <w:r w:rsidR="00DC2029">
        <w:t>t</w:t>
      </w:r>
      <w:r w:rsidRPr="00DD7C0F">
        <w:t xml:space="preserve">issue </w:t>
      </w:r>
      <w:r w:rsidR="00DC2029">
        <w:t>i</w:t>
      </w:r>
      <w:r w:rsidRPr="00DD7C0F">
        <w:t>nfections</w:t>
      </w:r>
      <w:r>
        <w:t xml:space="preserve">. In-submission. </w:t>
      </w:r>
    </w:p>
    <w:p w14:paraId="55CD1D94" w14:textId="77777777" w:rsidR="00DD7C0F" w:rsidRDefault="00DD7C0F" w:rsidP="00DD7C0F">
      <w:pPr>
        <w:pStyle w:val="citationUlliParagraph"/>
        <w:spacing w:after="220"/>
        <w:jc w:val="both"/>
      </w:pPr>
    </w:p>
    <w:p w14:paraId="64A4AC73" w14:textId="1ED8E92C" w:rsidR="00DD6BCB" w:rsidRDefault="00DD6BCB" w:rsidP="00DD6BCB">
      <w:pPr>
        <w:pStyle w:val="citationUlliParagraph"/>
        <w:spacing w:after="220"/>
        <w:ind w:firstLine="360"/>
        <w:jc w:val="both"/>
      </w:pPr>
    </w:p>
    <w:p w14:paraId="3FDC88F7" w14:textId="77777777" w:rsidR="00F10C8E" w:rsidRDefault="00F10C8E" w:rsidP="00DD6BCB">
      <w:pPr>
        <w:pStyle w:val="citationUlliParagraph"/>
        <w:spacing w:after="220"/>
        <w:ind w:firstLine="360"/>
        <w:jc w:val="both"/>
      </w:pPr>
    </w:p>
    <w:sectPr w:rsidR="00F10C8E">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rFonts w:ascii="Arial" w:eastAsia="Arial" w:hAnsi="Arial" w:cs="Arial"/>
        <w:sz w:val="22"/>
        <w:szCs w:val="22"/>
        <w:bdr w:val="nil"/>
      </w:rPr>
    </w:lvl>
    <w:lvl w:ilvl="1">
      <w:start w:val="1"/>
      <w:numFmt w:val="lowerLetter"/>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EE93DE2"/>
    <w:multiLevelType w:val="multilevel"/>
    <w:tmpl w:val="91669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881391"/>
    <w:multiLevelType w:val="multilevel"/>
    <w:tmpl w:val="8A0EC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B77489"/>
    <w:multiLevelType w:val="multilevel"/>
    <w:tmpl w:val="D90E9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5A2C01"/>
    <w:multiLevelType w:val="hybridMultilevel"/>
    <w:tmpl w:val="FDB802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80784127">
    <w:abstractNumId w:val="0"/>
  </w:num>
  <w:num w:numId="2" w16cid:durableId="220797917">
    <w:abstractNumId w:val="1"/>
  </w:num>
  <w:num w:numId="3" w16cid:durableId="679045513">
    <w:abstractNumId w:val="2"/>
  </w:num>
  <w:num w:numId="4" w16cid:durableId="1095783157">
    <w:abstractNumId w:val="3"/>
  </w:num>
  <w:num w:numId="5" w16cid:durableId="1283612470">
    <w:abstractNumId w:val="4"/>
  </w:num>
  <w:num w:numId="6" w16cid:durableId="2003194495">
    <w:abstractNumId w:val="5"/>
  </w:num>
  <w:num w:numId="7" w16cid:durableId="5954797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C4BC9"/>
    <w:rsid w:val="00013AC6"/>
    <w:rsid w:val="00024C6E"/>
    <w:rsid w:val="0006447C"/>
    <w:rsid w:val="00077036"/>
    <w:rsid w:val="000779E7"/>
    <w:rsid w:val="0008791F"/>
    <w:rsid w:val="000917F5"/>
    <w:rsid w:val="0009601A"/>
    <w:rsid w:val="000F61C6"/>
    <w:rsid w:val="001223A5"/>
    <w:rsid w:val="00125DDC"/>
    <w:rsid w:val="001271B0"/>
    <w:rsid w:val="00141600"/>
    <w:rsid w:val="00142DD1"/>
    <w:rsid w:val="00191EEF"/>
    <w:rsid w:val="001A0DA4"/>
    <w:rsid w:val="001D1124"/>
    <w:rsid w:val="0023252A"/>
    <w:rsid w:val="00235F28"/>
    <w:rsid w:val="002674DA"/>
    <w:rsid w:val="002D00FD"/>
    <w:rsid w:val="002D0376"/>
    <w:rsid w:val="002D4ED3"/>
    <w:rsid w:val="002F2FE8"/>
    <w:rsid w:val="00306797"/>
    <w:rsid w:val="00327F8D"/>
    <w:rsid w:val="00357C7A"/>
    <w:rsid w:val="00376757"/>
    <w:rsid w:val="003936FA"/>
    <w:rsid w:val="003A64EB"/>
    <w:rsid w:val="003A78C6"/>
    <w:rsid w:val="003B6CF2"/>
    <w:rsid w:val="003D675C"/>
    <w:rsid w:val="003E06CF"/>
    <w:rsid w:val="003E3B0C"/>
    <w:rsid w:val="003F2156"/>
    <w:rsid w:val="00434D37"/>
    <w:rsid w:val="004410B2"/>
    <w:rsid w:val="00442C46"/>
    <w:rsid w:val="00464CC1"/>
    <w:rsid w:val="00494F9C"/>
    <w:rsid w:val="004956A2"/>
    <w:rsid w:val="004B375D"/>
    <w:rsid w:val="004D409C"/>
    <w:rsid w:val="004E45F0"/>
    <w:rsid w:val="004E6205"/>
    <w:rsid w:val="004F1C0C"/>
    <w:rsid w:val="00521915"/>
    <w:rsid w:val="00540969"/>
    <w:rsid w:val="00540C16"/>
    <w:rsid w:val="00541D3D"/>
    <w:rsid w:val="0054342D"/>
    <w:rsid w:val="00551A8A"/>
    <w:rsid w:val="00555A6A"/>
    <w:rsid w:val="00564164"/>
    <w:rsid w:val="005A2607"/>
    <w:rsid w:val="005C2191"/>
    <w:rsid w:val="005C4BC9"/>
    <w:rsid w:val="005F0C3A"/>
    <w:rsid w:val="00604516"/>
    <w:rsid w:val="00632D62"/>
    <w:rsid w:val="00654914"/>
    <w:rsid w:val="00664EE6"/>
    <w:rsid w:val="00690859"/>
    <w:rsid w:val="006A0600"/>
    <w:rsid w:val="006D5DEE"/>
    <w:rsid w:val="006D7895"/>
    <w:rsid w:val="006E5E19"/>
    <w:rsid w:val="006E642F"/>
    <w:rsid w:val="006F7F16"/>
    <w:rsid w:val="007123AF"/>
    <w:rsid w:val="00717EDE"/>
    <w:rsid w:val="00744F7E"/>
    <w:rsid w:val="00771D4F"/>
    <w:rsid w:val="0077246B"/>
    <w:rsid w:val="00776691"/>
    <w:rsid w:val="00780A0A"/>
    <w:rsid w:val="00791A0B"/>
    <w:rsid w:val="007A4BC9"/>
    <w:rsid w:val="007B29CA"/>
    <w:rsid w:val="007C1AFD"/>
    <w:rsid w:val="007D5FC8"/>
    <w:rsid w:val="007E365E"/>
    <w:rsid w:val="007E57F3"/>
    <w:rsid w:val="00812B46"/>
    <w:rsid w:val="00817BDB"/>
    <w:rsid w:val="00846A0A"/>
    <w:rsid w:val="00854938"/>
    <w:rsid w:val="0088085F"/>
    <w:rsid w:val="008912D9"/>
    <w:rsid w:val="00894CB1"/>
    <w:rsid w:val="008E17C7"/>
    <w:rsid w:val="008F22FF"/>
    <w:rsid w:val="0093551D"/>
    <w:rsid w:val="00944DD9"/>
    <w:rsid w:val="00975719"/>
    <w:rsid w:val="009779C0"/>
    <w:rsid w:val="009B7BFF"/>
    <w:rsid w:val="009D0BB7"/>
    <w:rsid w:val="009D7138"/>
    <w:rsid w:val="009E317A"/>
    <w:rsid w:val="009F1B3C"/>
    <w:rsid w:val="00A003A7"/>
    <w:rsid w:val="00A12308"/>
    <w:rsid w:val="00A13592"/>
    <w:rsid w:val="00A2652A"/>
    <w:rsid w:val="00A417E9"/>
    <w:rsid w:val="00A462E2"/>
    <w:rsid w:val="00A557CE"/>
    <w:rsid w:val="00A6184E"/>
    <w:rsid w:val="00A62053"/>
    <w:rsid w:val="00A730B7"/>
    <w:rsid w:val="00A74226"/>
    <w:rsid w:val="00A874D1"/>
    <w:rsid w:val="00AA6F5A"/>
    <w:rsid w:val="00AC17FF"/>
    <w:rsid w:val="00AC6827"/>
    <w:rsid w:val="00AC71BA"/>
    <w:rsid w:val="00AE5C0A"/>
    <w:rsid w:val="00B02765"/>
    <w:rsid w:val="00B331DD"/>
    <w:rsid w:val="00B355E8"/>
    <w:rsid w:val="00B457B3"/>
    <w:rsid w:val="00B464D3"/>
    <w:rsid w:val="00B539E6"/>
    <w:rsid w:val="00B82119"/>
    <w:rsid w:val="00BA5047"/>
    <w:rsid w:val="00BA7838"/>
    <w:rsid w:val="00BC4BA2"/>
    <w:rsid w:val="00BC52B4"/>
    <w:rsid w:val="00BF6B5E"/>
    <w:rsid w:val="00C1633A"/>
    <w:rsid w:val="00C17DAA"/>
    <w:rsid w:val="00C24F69"/>
    <w:rsid w:val="00C51C0E"/>
    <w:rsid w:val="00C70F2C"/>
    <w:rsid w:val="00C81CFC"/>
    <w:rsid w:val="00C957D6"/>
    <w:rsid w:val="00CA1958"/>
    <w:rsid w:val="00CA50DD"/>
    <w:rsid w:val="00CB6D5B"/>
    <w:rsid w:val="00D24289"/>
    <w:rsid w:val="00D36316"/>
    <w:rsid w:val="00D4234C"/>
    <w:rsid w:val="00D50922"/>
    <w:rsid w:val="00D6566D"/>
    <w:rsid w:val="00D71D66"/>
    <w:rsid w:val="00D75E49"/>
    <w:rsid w:val="00D81059"/>
    <w:rsid w:val="00DA7C3C"/>
    <w:rsid w:val="00DC2029"/>
    <w:rsid w:val="00DD20AD"/>
    <w:rsid w:val="00DD6BCB"/>
    <w:rsid w:val="00DD7C0F"/>
    <w:rsid w:val="00E00411"/>
    <w:rsid w:val="00E0111A"/>
    <w:rsid w:val="00E06E90"/>
    <w:rsid w:val="00E720E4"/>
    <w:rsid w:val="00E83435"/>
    <w:rsid w:val="00E9046B"/>
    <w:rsid w:val="00E93D6B"/>
    <w:rsid w:val="00EE151C"/>
    <w:rsid w:val="00F024DC"/>
    <w:rsid w:val="00F105D5"/>
    <w:rsid w:val="00F10C8E"/>
    <w:rsid w:val="00F5113F"/>
    <w:rsid w:val="00F55D9F"/>
    <w:rsid w:val="00F75813"/>
    <w:rsid w:val="00F90902"/>
    <w:rsid w:val="00FA39B8"/>
    <w:rsid w:val="00FC2A5C"/>
    <w:rsid w:val="00FC345E"/>
    <w:rsid w:val="00FD069E"/>
    <w:rsid w:val="00FF7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0E5AF"/>
  <w15:docId w15:val="{FB46A603-ED91-E142-839D-8531F344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Arial" w:eastAsia="Arial" w:hAnsi="Arial" w:cs="Arial"/>
      <w:sz w:val="22"/>
      <w:szCs w:val="22"/>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20" w:after="3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keheader">
    <w:name w:val="likeheader"/>
    <w:basedOn w:val="Normal"/>
    <w:pPr>
      <w:jc w:val="right"/>
    </w:pPr>
    <w:rPr>
      <w:sz w:val="16"/>
      <w:szCs w:val="16"/>
    </w:rPr>
  </w:style>
  <w:style w:type="paragraph" w:customStyle="1" w:styleId="h3center">
    <w:name w:val="h3_center"/>
    <w:basedOn w:val="Heading3"/>
    <w:pPr>
      <w:jc w:val="center"/>
    </w:pPr>
  </w:style>
  <w:style w:type="paragraph" w:customStyle="1" w:styleId="sectionDescription">
    <w:name w:val="sectionDescription"/>
    <w:basedOn w:val="Normal"/>
    <w:pPr>
      <w:spacing w:after="75"/>
    </w:pPr>
    <w:rPr>
      <w:sz w:val="16"/>
      <w:szCs w:val="16"/>
    </w:rPr>
  </w:style>
  <w:style w:type="table" w:customStyle="1" w:styleId="table">
    <w:name w:val="table"/>
    <w:tblPr>
      <w:tblCellMar>
        <w:top w:w="0" w:type="dxa"/>
        <w:left w:w="0" w:type="dxa"/>
        <w:bottom w:w="0" w:type="dxa"/>
        <w:right w:w="0" w:type="dxa"/>
      </w:tblCellMar>
    </w:tblPr>
  </w:style>
  <w:style w:type="paragraph" w:customStyle="1" w:styleId="sectionEducationsectionHeader">
    <w:name w:val="sectionEducation_sectionHeader"/>
    <w:basedOn w:val="Normal"/>
    <w:pPr>
      <w:pBdr>
        <w:top w:val="nil"/>
        <w:left w:val="nil"/>
        <w:bottom w:val="nil"/>
        <w:right w:val="nil"/>
      </w:pBdr>
    </w:pPr>
  </w:style>
  <w:style w:type="paragraph" w:customStyle="1" w:styleId="annotation">
    <w:name w:val="annotation"/>
    <w:basedOn w:val="Normal"/>
  </w:style>
  <w:style w:type="paragraph" w:customStyle="1" w:styleId="h3underline">
    <w:name w:val="h3_underline"/>
    <w:basedOn w:val="Heading3"/>
    <w:rPr>
      <w:u w:val="single"/>
    </w:rPr>
  </w:style>
  <w:style w:type="character" w:customStyle="1" w:styleId="citationUlli">
    <w:name w:val="citationUl_li"/>
    <w:basedOn w:val="DefaultParagraphFont"/>
    <w:rPr>
      <w:bdr w:val="nil"/>
    </w:rPr>
  </w:style>
  <w:style w:type="paragraph" w:customStyle="1" w:styleId="citationUlliParagraph">
    <w:name w:val="citationUl_li Paragraph"/>
    <w:basedOn w:val="Normal"/>
    <w:pPr>
      <w:spacing w:after="75"/>
    </w:pPr>
  </w:style>
  <w:style w:type="paragraph" w:styleId="NormalWeb">
    <w:name w:val="Normal (Web)"/>
    <w:basedOn w:val="Normal"/>
    <w:uiPriority w:val="99"/>
    <w:semiHidden/>
    <w:unhideWhenUsed/>
    <w:rsid w:val="00494F9C"/>
    <w:rPr>
      <w:rFonts w:ascii="Times New Roman" w:hAnsi="Times New Roman" w:cs="Times New Roman"/>
      <w:sz w:val="24"/>
      <w:szCs w:val="24"/>
    </w:rPr>
  </w:style>
  <w:style w:type="character" w:styleId="Hyperlink">
    <w:name w:val="Hyperlink"/>
    <w:basedOn w:val="DefaultParagraphFont"/>
    <w:uiPriority w:val="99"/>
    <w:unhideWhenUsed/>
    <w:rsid w:val="00F10C8E"/>
    <w:rPr>
      <w:color w:val="467886" w:themeColor="hyperlink"/>
      <w:u w:val="single"/>
    </w:rPr>
  </w:style>
  <w:style w:type="character" w:styleId="UnresolvedMention">
    <w:name w:val="Unresolved Mention"/>
    <w:basedOn w:val="DefaultParagraphFont"/>
    <w:uiPriority w:val="99"/>
    <w:semiHidden/>
    <w:unhideWhenUsed/>
    <w:rsid w:val="00F10C8E"/>
    <w:rPr>
      <w:color w:val="605E5C"/>
      <w:shd w:val="clear" w:color="auto" w:fill="E1DFDD"/>
    </w:rPr>
  </w:style>
  <w:style w:type="character" w:styleId="FollowedHyperlink">
    <w:name w:val="FollowedHyperlink"/>
    <w:basedOn w:val="DefaultParagraphFont"/>
    <w:uiPriority w:val="99"/>
    <w:semiHidden/>
    <w:unhideWhenUsed/>
    <w:rsid w:val="00F10C8E"/>
    <w:rPr>
      <w:color w:val="96607D" w:themeColor="followedHyperlink"/>
      <w:u w:val="single"/>
    </w:rPr>
  </w:style>
  <w:style w:type="character" w:styleId="Strong">
    <w:name w:val="Strong"/>
    <w:basedOn w:val="DefaultParagraphFont"/>
    <w:uiPriority w:val="22"/>
    <w:qFormat/>
    <w:rsid w:val="00540969"/>
    <w:rPr>
      <w:b/>
      <w:bCs/>
    </w:rPr>
  </w:style>
  <w:style w:type="character" w:customStyle="1" w:styleId="apple-converted-space">
    <w:name w:val="apple-converted-space"/>
    <w:basedOn w:val="DefaultParagraphFont"/>
    <w:rsid w:val="00540969"/>
  </w:style>
  <w:style w:type="character" w:styleId="Emphasis">
    <w:name w:val="Emphasis"/>
    <w:basedOn w:val="DefaultParagraphFont"/>
    <w:uiPriority w:val="20"/>
    <w:qFormat/>
    <w:rsid w:val="00540969"/>
    <w:rPr>
      <w:i/>
      <w:iCs/>
    </w:rPr>
  </w:style>
  <w:style w:type="paragraph" w:styleId="ListParagraph">
    <w:name w:val="List Paragraph"/>
    <w:basedOn w:val="Normal"/>
    <w:uiPriority w:val="34"/>
    <w:qFormat/>
    <w:rsid w:val="005409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9984">
      <w:bodyDiv w:val="1"/>
      <w:marLeft w:val="0"/>
      <w:marRight w:val="0"/>
      <w:marTop w:val="0"/>
      <w:marBottom w:val="0"/>
      <w:divBdr>
        <w:top w:val="none" w:sz="0" w:space="0" w:color="auto"/>
        <w:left w:val="none" w:sz="0" w:space="0" w:color="auto"/>
        <w:bottom w:val="none" w:sz="0" w:space="0" w:color="auto"/>
        <w:right w:val="none" w:sz="0" w:space="0" w:color="auto"/>
      </w:divBdr>
    </w:div>
    <w:div w:id="14309456">
      <w:bodyDiv w:val="1"/>
      <w:marLeft w:val="0"/>
      <w:marRight w:val="0"/>
      <w:marTop w:val="0"/>
      <w:marBottom w:val="0"/>
      <w:divBdr>
        <w:top w:val="none" w:sz="0" w:space="0" w:color="auto"/>
        <w:left w:val="none" w:sz="0" w:space="0" w:color="auto"/>
        <w:bottom w:val="none" w:sz="0" w:space="0" w:color="auto"/>
        <w:right w:val="none" w:sz="0" w:space="0" w:color="auto"/>
      </w:divBdr>
    </w:div>
    <w:div w:id="59792573">
      <w:bodyDiv w:val="1"/>
      <w:marLeft w:val="0"/>
      <w:marRight w:val="0"/>
      <w:marTop w:val="0"/>
      <w:marBottom w:val="0"/>
      <w:divBdr>
        <w:top w:val="none" w:sz="0" w:space="0" w:color="auto"/>
        <w:left w:val="none" w:sz="0" w:space="0" w:color="auto"/>
        <w:bottom w:val="none" w:sz="0" w:space="0" w:color="auto"/>
        <w:right w:val="none" w:sz="0" w:space="0" w:color="auto"/>
      </w:divBdr>
    </w:div>
    <w:div w:id="74668380">
      <w:bodyDiv w:val="1"/>
      <w:marLeft w:val="0"/>
      <w:marRight w:val="0"/>
      <w:marTop w:val="0"/>
      <w:marBottom w:val="0"/>
      <w:divBdr>
        <w:top w:val="none" w:sz="0" w:space="0" w:color="auto"/>
        <w:left w:val="none" w:sz="0" w:space="0" w:color="auto"/>
        <w:bottom w:val="none" w:sz="0" w:space="0" w:color="auto"/>
        <w:right w:val="none" w:sz="0" w:space="0" w:color="auto"/>
      </w:divBdr>
    </w:div>
    <w:div w:id="83650819">
      <w:bodyDiv w:val="1"/>
      <w:marLeft w:val="0"/>
      <w:marRight w:val="0"/>
      <w:marTop w:val="0"/>
      <w:marBottom w:val="0"/>
      <w:divBdr>
        <w:top w:val="none" w:sz="0" w:space="0" w:color="auto"/>
        <w:left w:val="none" w:sz="0" w:space="0" w:color="auto"/>
        <w:bottom w:val="none" w:sz="0" w:space="0" w:color="auto"/>
        <w:right w:val="none" w:sz="0" w:space="0" w:color="auto"/>
      </w:divBdr>
    </w:div>
    <w:div w:id="170265417">
      <w:bodyDiv w:val="1"/>
      <w:marLeft w:val="0"/>
      <w:marRight w:val="0"/>
      <w:marTop w:val="0"/>
      <w:marBottom w:val="0"/>
      <w:divBdr>
        <w:top w:val="none" w:sz="0" w:space="0" w:color="auto"/>
        <w:left w:val="none" w:sz="0" w:space="0" w:color="auto"/>
        <w:bottom w:val="none" w:sz="0" w:space="0" w:color="auto"/>
        <w:right w:val="none" w:sz="0" w:space="0" w:color="auto"/>
      </w:divBdr>
    </w:div>
    <w:div w:id="172454347">
      <w:bodyDiv w:val="1"/>
      <w:marLeft w:val="0"/>
      <w:marRight w:val="0"/>
      <w:marTop w:val="0"/>
      <w:marBottom w:val="0"/>
      <w:divBdr>
        <w:top w:val="none" w:sz="0" w:space="0" w:color="auto"/>
        <w:left w:val="none" w:sz="0" w:space="0" w:color="auto"/>
        <w:bottom w:val="none" w:sz="0" w:space="0" w:color="auto"/>
        <w:right w:val="none" w:sz="0" w:space="0" w:color="auto"/>
      </w:divBdr>
    </w:div>
    <w:div w:id="201669728">
      <w:bodyDiv w:val="1"/>
      <w:marLeft w:val="0"/>
      <w:marRight w:val="0"/>
      <w:marTop w:val="0"/>
      <w:marBottom w:val="0"/>
      <w:divBdr>
        <w:top w:val="none" w:sz="0" w:space="0" w:color="auto"/>
        <w:left w:val="none" w:sz="0" w:space="0" w:color="auto"/>
        <w:bottom w:val="none" w:sz="0" w:space="0" w:color="auto"/>
        <w:right w:val="none" w:sz="0" w:space="0" w:color="auto"/>
      </w:divBdr>
    </w:div>
    <w:div w:id="353073343">
      <w:bodyDiv w:val="1"/>
      <w:marLeft w:val="0"/>
      <w:marRight w:val="0"/>
      <w:marTop w:val="0"/>
      <w:marBottom w:val="0"/>
      <w:divBdr>
        <w:top w:val="none" w:sz="0" w:space="0" w:color="auto"/>
        <w:left w:val="none" w:sz="0" w:space="0" w:color="auto"/>
        <w:bottom w:val="none" w:sz="0" w:space="0" w:color="auto"/>
        <w:right w:val="none" w:sz="0" w:space="0" w:color="auto"/>
      </w:divBdr>
    </w:div>
    <w:div w:id="398403863">
      <w:bodyDiv w:val="1"/>
      <w:marLeft w:val="0"/>
      <w:marRight w:val="0"/>
      <w:marTop w:val="0"/>
      <w:marBottom w:val="0"/>
      <w:divBdr>
        <w:top w:val="none" w:sz="0" w:space="0" w:color="auto"/>
        <w:left w:val="none" w:sz="0" w:space="0" w:color="auto"/>
        <w:bottom w:val="none" w:sz="0" w:space="0" w:color="auto"/>
        <w:right w:val="none" w:sz="0" w:space="0" w:color="auto"/>
      </w:divBdr>
    </w:div>
    <w:div w:id="413629327">
      <w:bodyDiv w:val="1"/>
      <w:marLeft w:val="0"/>
      <w:marRight w:val="0"/>
      <w:marTop w:val="0"/>
      <w:marBottom w:val="0"/>
      <w:divBdr>
        <w:top w:val="none" w:sz="0" w:space="0" w:color="auto"/>
        <w:left w:val="none" w:sz="0" w:space="0" w:color="auto"/>
        <w:bottom w:val="none" w:sz="0" w:space="0" w:color="auto"/>
        <w:right w:val="none" w:sz="0" w:space="0" w:color="auto"/>
      </w:divBdr>
    </w:div>
    <w:div w:id="428425775">
      <w:bodyDiv w:val="1"/>
      <w:marLeft w:val="0"/>
      <w:marRight w:val="0"/>
      <w:marTop w:val="0"/>
      <w:marBottom w:val="0"/>
      <w:divBdr>
        <w:top w:val="none" w:sz="0" w:space="0" w:color="auto"/>
        <w:left w:val="none" w:sz="0" w:space="0" w:color="auto"/>
        <w:bottom w:val="none" w:sz="0" w:space="0" w:color="auto"/>
        <w:right w:val="none" w:sz="0" w:space="0" w:color="auto"/>
      </w:divBdr>
    </w:div>
    <w:div w:id="458887562">
      <w:bodyDiv w:val="1"/>
      <w:marLeft w:val="0"/>
      <w:marRight w:val="0"/>
      <w:marTop w:val="0"/>
      <w:marBottom w:val="0"/>
      <w:divBdr>
        <w:top w:val="none" w:sz="0" w:space="0" w:color="auto"/>
        <w:left w:val="none" w:sz="0" w:space="0" w:color="auto"/>
        <w:bottom w:val="none" w:sz="0" w:space="0" w:color="auto"/>
        <w:right w:val="none" w:sz="0" w:space="0" w:color="auto"/>
      </w:divBdr>
    </w:div>
    <w:div w:id="479541140">
      <w:bodyDiv w:val="1"/>
      <w:marLeft w:val="0"/>
      <w:marRight w:val="0"/>
      <w:marTop w:val="0"/>
      <w:marBottom w:val="0"/>
      <w:divBdr>
        <w:top w:val="none" w:sz="0" w:space="0" w:color="auto"/>
        <w:left w:val="none" w:sz="0" w:space="0" w:color="auto"/>
        <w:bottom w:val="none" w:sz="0" w:space="0" w:color="auto"/>
        <w:right w:val="none" w:sz="0" w:space="0" w:color="auto"/>
      </w:divBdr>
    </w:div>
    <w:div w:id="547378726">
      <w:bodyDiv w:val="1"/>
      <w:marLeft w:val="0"/>
      <w:marRight w:val="0"/>
      <w:marTop w:val="0"/>
      <w:marBottom w:val="0"/>
      <w:divBdr>
        <w:top w:val="none" w:sz="0" w:space="0" w:color="auto"/>
        <w:left w:val="none" w:sz="0" w:space="0" w:color="auto"/>
        <w:bottom w:val="none" w:sz="0" w:space="0" w:color="auto"/>
        <w:right w:val="none" w:sz="0" w:space="0" w:color="auto"/>
      </w:divBdr>
    </w:div>
    <w:div w:id="568536523">
      <w:bodyDiv w:val="1"/>
      <w:marLeft w:val="0"/>
      <w:marRight w:val="0"/>
      <w:marTop w:val="0"/>
      <w:marBottom w:val="0"/>
      <w:divBdr>
        <w:top w:val="none" w:sz="0" w:space="0" w:color="auto"/>
        <w:left w:val="none" w:sz="0" w:space="0" w:color="auto"/>
        <w:bottom w:val="none" w:sz="0" w:space="0" w:color="auto"/>
        <w:right w:val="none" w:sz="0" w:space="0" w:color="auto"/>
      </w:divBdr>
    </w:div>
    <w:div w:id="707800330">
      <w:bodyDiv w:val="1"/>
      <w:marLeft w:val="0"/>
      <w:marRight w:val="0"/>
      <w:marTop w:val="0"/>
      <w:marBottom w:val="0"/>
      <w:divBdr>
        <w:top w:val="none" w:sz="0" w:space="0" w:color="auto"/>
        <w:left w:val="none" w:sz="0" w:space="0" w:color="auto"/>
        <w:bottom w:val="none" w:sz="0" w:space="0" w:color="auto"/>
        <w:right w:val="none" w:sz="0" w:space="0" w:color="auto"/>
      </w:divBdr>
    </w:div>
    <w:div w:id="770004354">
      <w:bodyDiv w:val="1"/>
      <w:marLeft w:val="0"/>
      <w:marRight w:val="0"/>
      <w:marTop w:val="0"/>
      <w:marBottom w:val="0"/>
      <w:divBdr>
        <w:top w:val="none" w:sz="0" w:space="0" w:color="auto"/>
        <w:left w:val="none" w:sz="0" w:space="0" w:color="auto"/>
        <w:bottom w:val="none" w:sz="0" w:space="0" w:color="auto"/>
        <w:right w:val="none" w:sz="0" w:space="0" w:color="auto"/>
      </w:divBdr>
    </w:div>
    <w:div w:id="787511249">
      <w:bodyDiv w:val="1"/>
      <w:marLeft w:val="0"/>
      <w:marRight w:val="0"/>
      <w:marTop w:val="0"/>
      <w:marBottom w:val="0"/>
      <w:divBdr>
        <w:top w:val="none" w:sz="0" w:space="0" w:color="auto"/>
        <w:left w:val="none" w:sz="0" w:space="0" w:color="auto"/>
        <w:bottom w:val="none" w:sz="0" w:space="0" w:color="auto"/>
        <w:right w:val="none" w:sz="0" w:space="0" w:color="auto"/>
      </w:divBdr>
    </w:div>
    <w:div w:id="791359932">
      <w:bodyDiv w:val="1"/>
      <w:marLeft w:val="0"/>
      <w:marRight w:val="0"/>
      <w:marTop w:val="0"/>
      <w:marBottom w:val="0"/>
      <w:divBdr>
        <w:top w:val="none" w:sz="0" w:space="0" w:color="auto"/>
        <w:left w:val="none" w:sz="0" w:space="0" w:color="auto"/>
        <w:bottom w:val="none" w:sz="0" w:space="0" w:color="auto"/>
        <w:right w:val="none" w:sz="0" w:space="0" w:color="auto"/>
      </w:divBdr>
    </w:div>
    <w:div w:id="796490220">
      <w:bodyDiv w:val="1"/>
      <w:marLeft w:val="0"/>
      <w:marRight w:val="0"/>
      <w:marTop w:val="0"/>
      <w:marBottom w:val="0"/>
      <w:divBdr>
        <w:top w:val="none" w:sz="0" w:space="0" w:color="auto"/>
        <w:left w:val="none" w:sz="0" w:space="0" w:color="auto"/>
        <w:bottom w:val="none" w:sz="0" w:space="0" w:color="auto"/>
        <w:right w:val="none" w:sz="0" w:space="0" w:color="auto"/>
      </w:divBdr>
    </w:div>
    <w:div w:id="803430694">
      <w:bodyDiv w:val="1"/>
      <w:marLeft w:val="0"/>
      <w:marRight w:val="0"/>
      <w:marTop w:val="0"/>
      <w:marBottom w:val="0"/>
      <w:divBdr>
        <w:top w:val="none" w:sz="0" w:space="0" w:color="auto"/>
        <w:left w:val="none" w:sz="0" w:space="0" w:color="auto"/>
        <w:bottom w:val="none" w:sz="0" w:space="0" w:color="auto"/>
        <w:right w:val="none" w:sz="0" w:space="0" w:color="auto"/>
      </w:divBdr>
    </w:div>
    <w:div w:id="885608338">
      <w:bodyDiv w:val="1"/>
      <w:marLeft w:val="0"/>
      <w:marRight w:val="0"/>
      <w:marTop w:val="0"/>
      <w:marBottom w:val="0"/>
      <w:divBdr>
        <w:top w:val="none" w:sz="0" w:space="0" w:color="auto"/>
        <w:left w:val="none" w:sz="0" w:space="0" w:color="auto"/>
        <w:bottom w:val="none" w:sz="0" w:space="0" w:color="auto"/>
        <w:right w:val="none" w:sz="0" w:space="0" w:color="auto"/>
      </w:divBdr>
    </w:div>
    <w:div w:id="1391615796">
      <w:bodyDiv w:val="1"/>
      <w:marLeft w:val="0"/>
      <w:marRight w:val="0"/>
      <w:marTop w:val="0"/>
      <w:marBottom w:val="0"/>
      <w:divBdr>
        <w:top w:val="none" w:sz="0" w:space="0" w:color="auto"/>
        <w:left w:val="none" w:sz="0" w:space="0" w:color="auto"/>
        <w:bottom w:val="none" w:sz="0" w:space="0" w:color="auto"/>
        <w:right w:val="none" w:sz="0" w:space="0" w:color="auto"/>
      </w:divBdr>
    </w:div>
    <w:div w:id="1511331673">
      <w:bodyDiv w:val="1"/>
      <w:marLeft w:val="0"/>
      <w:marRight w:val="0"/>
      <w:marTop w:val="0"/>
      <w:marBottom w:val="0"/>
      <w:divBdr>
        <w:top w:val="none" w:sz="0" w:space="0" w:color="auto"/>
        <w:left w:val="none" w:sz="0" w:space="0" w:color="auto"/>
        <w:bottom w:val="none" w:sz="0" w:space="0" w:color="auto"/>
        <w:right w:val="none" w:sz="0" w:space="0" w:color="auto"/>
      </w:divBdr>
    </w:div>
    <w:div w:id="1512649286">
      <w:bodyDiv w:val="1"/>
      <w:marLeft w:val="0"/>
      <w:marRight w:val="0"/>
      <w:marTop w:val="0"/>
      <w:marBottom w:val="0"/>
      <w:divBdr>
        <w:top w:val="none" w:sz="0" w:space="0" w:color="auto"/>
        <w:left w:val="none" w:sz="0" w:space="0" w:color="auto"/>
        <w:bottom w:val="none" w:sz="0" w:space="0" w:color="auto"/>
        <w:right w:val="none" w:sz="0" w:space="0" w:color="auto"/>
      </w:divBdr>
    </w:div>
    <w:div w:id="1754276635">
      <w:bodyDiv w:val="1"/>
      <w:marLeft w:val="0"/>
      <w:marRight w:val="0"/>
      <w:marTop w:val="0"/>
      <w:marBottom w:val="0"/>
      <w:divBdr>
        <w:top w:val="none" w:sz="0" w:space="0" w:color="auto"/>
        <w:left w:val="none" w:sz="0" w:space="0" w:color="auto"/>
        <w:bottom w:val="none" w:sz="0" w:space="0" w:color="auto"/>
        <w:right w:val="none" w:sz="0" w:space="0" w:color="auto"/>
      </w:divBdr>
    </w:div>
    <w:div w:id="1916355071">
      <w:bodyDiv w:val="1"/>
      <w:marLeft w:val="0"/>
      <w:marRight w:val="0"/>
      <w:marTop w:val="0"/>
      <w:marBottom w:val="0"/>
      <w:divBdr>
        <w:top w:val="none" w:sz="0" w:space="0" w:color="auto"/>
        <w:left w:val="none" w:sz="0" w:space="0" w:color="auto"/>
        <w:bottom w:val="none" w:sz="0" w:space="0" w:color="auto"/>
        <w:right w:val="none" w:sz="0" w:space="0" w:color="auto"/>
      </w:divBdr>
    </w:div>
    <w:div w:id="2060474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bi.nlm.nih.gov/myncbi/wei.xu.19/bibliography/publi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4</Pages>
  <Words>1851</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SciENCV PDF</vt:lpstr>
    </vt:vector>
  </TitlesOfParts>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SciENCV PDF</dc:title>
  <cp:lastModifiedBy>Xu, Wei</cp:lastModifiedBy>
  <cp:revision>132</cp:revision>
  <cp:lastPrinted>2025-02-01T18:51:00Z</cp:lastPrinted>
  <dcterms:created xsi:type="dcterms:W3CDTF">2024-08-21T18:52:00Z</dcterms:created>
  <dcterms:modified xsi:type="dcterms:W3CDTF">2025-04-24T13:47:00Z</dcterms:modified>
</cp:coreProperties>
</file>